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7295" w14:textId="03CB6843" w:rsidR="004A7EF0" w:rsidRPr="00A22B1F" w:rsidRDefault="00E77EAE" w:rsidP="000D3520">
      <w:pPr>
        <w:jc w:val="center"/>
        <w:rPr>
          <w:b/>
          <w:bCs/>
          <w:noProof/>
          <w:lang w:eastAsia="ru-RU"/>
        </w:rPr>
      </w:pPr>
      <w:bookmarkStart w:id="0" w:name="_GoBack"/>
      <w:bookmarkEnd w:id="0"/>
      <w:r w:rsidRPr="00A22B1F">
        <w:rPr>
          <w:b/>
          <w:noProof/>
          <w:lang w:eastAsia="ru-RU"/>
        </w:rPr>
        <w:t>Likumprojekta</w:t>
      </w:r>
      <w:r w:rsidR="004A7EF0" w:rsidRPr="00A22B1F">
        <w:rPr>
          <w:b/>
          <w:noProof/>
          <w:lang w:eastAsia="ru-RU"/>
        </w:rPr>
        <w:t xml:space="preserve"> </w:t>
      </w:r>
      <w:r w:rsidR="00372B9B" w:rsidRPr="00A22B1F">
        <w:rPr>
          <w:b/>
          <w:noProof/>
          <w:lang w:eastAsia="ru-RU"/>
        </w:rPr>
        <w:t>“</w:t>
      </w:r>
      <w:r w:rsidR="009F22AB" w:rsidRPr="00A22B1F">
        <w:rPr>
          <w:b/>
          <w:noProof/>
          <w:lang w:eastAsia="ru-RU"/>
        </w:rPr>
        <w:t>Grozījum</w:t>
      </w:r>
      <w:r w:rsidR="0057142E" w:rsidRPr="00A22B1F">
        <w:rPr>
          <w:b/>
          <w:noProof/>
          <w:lang w:eastAsia="ru-RU"/>
        </w:rPr>
        <w:t>i</w:t>
      </w:r>
      <w:r w:rsidR="009F22AB" w:rsidRPr="00A22B1F">
        <w:rPr>
          <w:b/>
          <w:noProof/>
          <w:lang w:eastAsia="ru-RU"/>
        </w:rPr>
        <w:t xml:space="preserve"> likumā “Par izložu un azartspēļu nodevu un nodokli”</w:t>
      </w:r>
      <w:r w:rsidR="004A7EF0" w:rsidRPr="00A22B1F">
        <w:rPr>
          <w:b/>
          <w:noProof/>
          <w:lang w:eastAsia="ru-RU"/>
        </w:rPr>
        <w:t xml:space="preserve">” </w:t>
      </w:r>
      <w:r w:rsidR="004A7EF0" w:rsidRPr="00A22B1F">
        <w:rPr>
          <w:b/>
          <w:bCs/>
          <w:noProof/>
          <w:lang w:eastAsia="ru-RU"/>
        </w:rPr>
        <w:t>sākotnējās ietekmes novērtējuma ziņojums (anotācija)</w:t>
      </w:r>
    </w:p>
    <w:p w14:paraId="45F1CEF4" w14:textId="405D5DE0" w:rsidR="00F64F56" w:rsidRPr="00A22B1F" w:rsidRDefault="00F64F56" w:rsidP="000D3520">
      <w:pPr>
        <w:jc w:val="center"/>
        <w:rPr>
          <w:b/>
          <w:bCs/>
          <w:noProof/>
          <w:lang w:eastAsia="ru-RU"/>
        </w:rPr>
      </w:pPr>
    </w:p>
    <w:tbl>
      <w:tblPr>
        <w:tblW w:w="5480"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8"/>
        <w:gridCol w:w="5726"/>
      </w:tblGrid>
      <w:tr w:rsidR="00A22B1F" w:rsidRPr="00632980" w14:paraId="656CC7FA" w14:textId="77777777" w:rsidTr="0069144E">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6390B21" w14:textId="77777777" w:rsidR="00F64F56" w:rsidRPr="00632980" w:rsidRDefault="00F64F56" w:rsidP="00767C05">
            <w:pPr>
              <w:spacing w:before="100" w:beforeAutospacing="1" w:after="100" w:afterAutospacing="1" w:line="360" w:lineRule="auto"/>
              <w:ind w:firstLine="300"/>
              <w:jc w:val="center"/>
              <w:rPr>
                <w:b/>
                <w:bCs/>
                <w:noProof/>
              </w:rPr>
            </w:pPr>
            <w:r w:rsidRPr="00632980">
              <w:rPr>
                <w:b/>
                <w:bCs/>
                <w:noProof/>
              </w:rPr>
              <w:t>Tiesību akta projekta anotācijas kopsavilkums</w:t>
            </w:r>
          </w:p>
        </w:tc>
      </w:tr>
      <w:tr w:rsidR="00A22B1F" w:rsidRPr="00632980" w14:paraId="5C6139C1" w14:textId="77777777" w:rsidTr="0069144E">
        <w:tc>
          <w:tcPr>
            <w:tcW w:w="2115" w:type="pct"/>
            <w:tcBorders>
              <w:top w:val="outset" w:sz="6" w:space="0" w:color="414142"/>
              <w:left w:val="outset" w:sz="6" w:space="0" w:color="414142"/>
              <w:bottom w:val="outset" w:sz="6" w:space="0" w:color="414142"/>
              <w:right w:val="outset" w:sz="6" w:space="0" w:color="414142"/>
            </w:tcBorders>
            <w:hideMark/>
          </w:tcPr>
          <w:p w14:paraId="1940BD9B" w14:textId="77777777" w:rsidR="00F64F56" w:rsidRPr="00632980" w:rsidRDefault="00F64F56" w:rsidP="00767C05">
            <w:pPr>
              <w:jc w:val="both"/>
              <w:rPr>
                <w:noProof/>
              </w:rPr>
            </w:pPr>
            <w:r w:rsidRPr="00632980">
              <w:rPr>
                <w:noProof/>
              </w:rPr>
              <w:t>Mērķis, risinājums un projekta spēkā stāšanās laiks (500 zīmes bez atstarpēm)</w:t>
            </w:r>
          </w:p>
        </w:tc>
        <w:tc>
          <w:tcPr>
            <w:tcW w:w="2885" w:type="pct"/>
            <w:tcBorders>
              <w:top w:val="outset" w:sz="6" w:space="0" w:color="414142"/>
              <w:left w:val="outset" w:sz="6" w:space="0" w:color="414142"/>
              <w:bottom w:val="outset" w:sz="6" w:space="0" w:color="414142"/>
              <w:right w:val="outset" w:sz="6" w:space="0" w:color="414142"/>
            </w:tcBorders>
            <w:hideMark/>
          </w:tcPr>
          <w:p w14:paraId="1DC5B463" w14:textId="47E7D6CB" w:rsidR="004C4BD6" w:rsidRPr="00632980" w:rsidRDefault="00F64F56" w:rsidP="00F64F56">
            <w:pPr>
              <w:shd w:val="clear" w:color="auto" w:fill="FFFFFF"/>
              <w:jc w:val="both"/>
              <w:rPr>
                <w:noProof/>
              </w:rPr>
            </w:pPr>
            <w:r w:rsidRPr="00632980">
              <w:rPr>
                <w:noProof/>
              </w:rPr>
              <w:t xml:space="preserve">Likumprojekts </w:t>
            </w:r>
            <w:r w:rsidRPr="00632980">
              <w:rPr>
                <w:noProof/>
                <w:lang w:eastAsia="ru-RU"/>
              </w:rPr>
              <w:t>“Grozījum</w:t>
            </w:r>
            <w:r w:rsidR="0057142E" w:rsidRPr="00632980">
              <w:rPr>
                <w:noProof/>
                <w:lang w:eastAsia="ru-RU"/>
              </w:rPr>
              <w:t>i</w:t>
            </w:r>
            <w:r w:rsidRPr="00632980">
              <w:rPr>
                <w:noProof/>
                <w:lang w:eastAsia="ru-RU"/>
              </w:rPr>
              <w:t xml:space="preserve"> likumā “Par izložu un azartspēļu nodevu un nodokli”” (turpmāk – likumprojekts)</w:t>
            </w:r>
            <w:r w:rsidRPr="00632980">
              <w:rPr>
                <w:noProof/>
              </w:rPr>
              <w:t xml:space="preserve"> paredz</w:t>
            </w:r>
            <w:r w:rsidR="004C4BD6" w:rsidRPr="00632980">
              <w:rPr>
                <w:noProof/>
              </w:rPr>
              <w:t>,</w:t>
            </w:r>
            <w:r w:rsidRPr="00632980">
              <w:rPr>
                <w:noProof/>
              </w:rPr>
              <w:t xml:space="preserve"> </w:t>
            </w:r>
            <w:r w:rsidR="004C4BD6" w:rsidRPr="00632980">
              <w:rPr>
                <w:noProof/>
                <w:shd w:val="clear" w:color="auto" w:fill="FFFFFF"/>
              </w:rPr>
              <w:t>sākot ar 2020.gadu:</w:t>
            </w:r>
          </w:p>
          <w:p w14:paraId="056DA0E3" w14:textId="69E0A24C" w:rsidR="00E9287A" w:rsidRPr="00632980" w:rsidRDefault="00E9287A" w:rsidP="00F64F56">
            <w:pPr>
              <w:shd w:val="clear" w:color="auto" w:fill="FFFFFF"/>
              <w:jc w:val="both"/>
              <w:rPr>
                <w:noProof/>
              </w:rPr>
            </w:pPr>
            <w:r w:rsidRPr="00632980">
              <w:rPr>
                <w:noProof/>
              </w:rPr>
              <w:t xml:space="preserve">- </w:t>
            </w:r>
            <w:r w:rsidR="00F64F56" w:rsidRPr="00632980">
              <w:rPr>
                <w:noProof/>
              </w:rPr>
              <w:t xml:space="preserve">paaugstināt azartspēļu nodokļa likmi </w:t>
            </w:r>
            <w:r w:rsidRPr="00632980">
              <w:rPr>
                <w:noProof/>
              </w:rPr>
              <w:t xml:space="preserve">azartspēļu </w:t>
            </w:r>
            <w:r w:rsidRPr="00632980">
              <w:rPr>
                <w:bCs/>
                <w:iCs/>
                <w:noProof/>
                <w:shd w:val="clear" w:color="auto" w:fill="FFFFFF"/>
              </w:rPr>
              <w:t xml:space="preserve">automātiem (par katra azartspēļu automāta katru spēles vietu) par </w:t>
            </w:r>
            <w:r w:rsidRPr="00632980">
              <w:rPr>
                <w:noProof/>
              </w:rPr>
              <w:t xml:space="preserve">kalendāro gadu no </w:t>
            </w:r>
            <w:r w:rsidRPr="00632980">
              <w:rPr>
                <w:b/>
                <w:noProof/>
              </w:rPr>
              <w:t>4164</w:t>
            </w:r>
            <w:r w:rsidRPr="00632980">
              <w:rPr>
                <w:b/>
                <w:bCs/>
                <w:noProof/>
                <w:shd w:val="clear" w:color="auto" w:fill="FFFFFF"/>
              </w:rPr>
              <w:t> </w:t>
            </w:r>
            <w:r w:rsidRPr="00632980">
              <w:rPr>
                <w:bCs/>
                <w:i/>
                <w:iCs/>
                <w:noProof/>
                <w:shd w:val="clear" w:color="auto" w:fill="FFFFFF"/>
              </w:rPr>
              <w:t>euro</w:t>
            </w:r>
            <w:r w:rsidRPr="00632980">
              <w:rPr>
                <w:b/>
                <w:bCs/>
                <w:i/>
                <w:iCs/>
                <w:noProof/>
                <w:shd w:val="clear" w:color="auto" w:fill="FFFFFF"/>
              </w:rPr>
              <w:t> </w:t>
            </w:r>
            <w:r w:rsidRPr="00632980">
              <w:rPr>
                <w:noProof/>
                <w:shd w:val="clear" w:color="auto" w:fill="FFFFFF"/>
              </w:rPr>
              <w:t>uz </w:t>
            </w:r>
            <w:r w:rsidRPr="00632980">
              <w:rPr>
                <w:b/>
                <w:noProof/>
                <w:shd w:val="clear" w:color="auto" w:fill="FFFFFF"/>
              </w:rPr>
              <w:t>6000</w:t>
            </w:r>
            <w:r w:rsidRPr="00632980">
              <w:rPr>
                <w:noProof/>
                <w:shd w:val="clear" w:color="auto" w:fill="FFFFFF"/>
              </w:rPr>
              <w:t> </w:t>
            </w:r>
            <w:r w:rsidRPr="00632980">
              <w:rPr>
                <w:bCs/>
                <w:i/>
                <w:iCs/>
                <w:noProof/>
                <w:shd w:val="clear" w:color="auto" w:fill="FFFFFF"/>
              </w:rPr>
              <w:t>euro</w:t>
            </w:r>
            <w:r w:rsidRPr="00632980">
              <w:rPr>
                <w:bCs/>
                <w:iCs/>
                <w:noProof/>
                <w:shd w:val="clear" w:color="auto" w:fill="FFFFFF"/>
              </w:rPr>
              <w:t>;</w:t>
            </w:r>
          </w:p>
          <w:p w14:paraId="636793EC" w14:textId="58C43A54" w:rsidR="00E52F67" w:rsidRPr="00632980" w:rsidRDefault="00E9287A" w:rsidP="00F64F56">
            <w:pPr>
              <w:shd w:val="clear" w:color="auto" w:fill="FFFFFF"/>
              <w:jc w:val="both"/>
              <w:rPr>
                <w:b/>
                <w:bCs/>
                <w:i/>
                <w:iCs/>
                <w:noProof/>
                <w:shd w:val="clear" w:color="auto" w:fill="FFFFFF"/>
              </w:rPr>
            </w:pPr>
            <w:r w:rsidRPr="00632980">
              <w:rPr>
                <w:noProof/>
              </w:rPr>
              <w:t xml:space="preserve">-  paaugstināt azartspēļu nodokļa likmi </w:t>
            </w:r>
            <w:r w:rsidR="00AB439A" w:rsidRPr="00632980">
              <w:rPr>
                <w:noProof/>
              </w:rPr>
              <w:t>ruletei un kāršu un kauliņu</w:t>
            </w:r>
            <w:r w:rsidR="0057142E" w:rsidRPr="00632980">
              <w:rPr>
                <w:noProof/>
              </w:rPr>
              <w:t xml:space="preserve"> </w:t>
            </w:r>
            <w:r w:rsidR="00AB439A" w:rsidRPr="00632980">
              <w:rPr>
                <w:noProof/>
              </w:rPr>
              <w:t>spēlei (par katru galdu) par kalendāro gadu no </w:t>
            </w:r>
            <w:r w:rsidR="00AB439A" w:rsidRPr="00632980">
              <w:rPr>
                <w:b/>
                <w:bCs/>
                <w:noProof/>
                <w:shd w:val="clear" w:color="auto" w:fill="FFFFFF"/>
              </w:rPr>
              <w:t>23 400 </w:t>
            </w:r>
            <w:r w:rsidR="00AB439A" w:rsidRPr="00632980">
              <w:rPr>
                <w:bCs/>
                <w:i/>
                <w:iCs/>
                <w:noProof/>
                <w:shd w:val="clear" w:color="auto" w:fill="FFFFFF"/>
              </w:rPr>
              <w:t>euro</w:t>
            </w:r>
            <w:r w:rsidR="00AB439A" w:rsidRPr="00632980">
              <w:rPr>
                <w:b/>
                <w:bCs/>
                <w:i/>
                <w:iCs/>
                <w:noProof/>
                <w:shd w:val="clear" w:color="auto" w:fill="FFFFFF"/>
              </w:rPr>
              <w:t> </w:t>
            </w:r>
            <w:r w:rsidR="00AB439A" w:rsidRPr="00632980">
              <w:rPr>
                <w:noProof/>
                <w:shd w:val="clear" w:color="auto" w:fill="FFFFFF"/>
              </w:rPr>
              <w:t>uz</w:t>
            </w:r>
            <w:r w:rsidR="00AB439A" w:rsidRPr="00632980">
              <w:rPr>
                <w:b/>
                <w:bCs/>
                <w:i/>
                <w:iCs/>
                <w:noProof/>
                <w:shd w:val="clear" w:color="auto" w:fill="FFFFFF"/>
              </w:rPr>
              <w:t> </w:t>
            </w:r>
            <w:r w:rsidR="00AB439A" w:rsidRPr="00632980">
              <w:rPr>
                <w:b/>
                <w:bCs/>
                <w:noProof/>
                <w:shd w:val="clear" w:color="auto" w:fill="FFFFFF"/>
              </w:rPr>
              <w:t>28 </w:t>
            </w:r>
            <w:r w:rsidR="000A06E7" w:rsidRPr="00632980">
              <w:rPr>
                <w:b/>
                <w:bCs/>
                <w:noProof/>
                <w:shd w:val="clear" w:color="auto" w:fill="FFFFFF"/>
              </w:rPr>
              <w:t>08</w:t>
            </w:r>
            <w:r w:rsidR="00AB439A" w:rsidRPr="00632980">
              <w:rPr>
                <w:b/>
                <w:bCs/>
                <w:noProof/>
                <w:shd w:val="clear" w:color="auto" w:fill="FFFFFF"/>
              </w:rPr>
              <w:t>0 </w:t>
            </w:r>
            <w:r w:rsidR="00AB439A" w:rsidRPr="00632980">
              <w:rPr>
                <w:bCs/>
                <w:i/>
                <w:iCs/>
                <w:noProof/>
                <w:shd w:val="clear" w:color="auto" w:fill="FFFFFF"/>
              </w:rPr>
              <w:t>euro</w:t>
            </w:r>
            <w:r w:rsidRPr="00632980">
              <w:rPr>
                <w:bCs/>
                <w:iCs/>
                <w:noProof/>
                <w:shd w:val="clear" w:color="auto" w:fill="FFFFFF"/>
              </w:rPr>
              <w:t>;</w:t>
            </w:r>
            <w:r w:rsidR="00AB439A" w:rsidRPr="00632980">
              <w:rPr>
                <w:noProof/>
              </w:rPr>
              <w:t xml:space="preserve"> </w:t>
            </w:r>
          </w:p>
          <w:p w14:paraId="6BFB973F" w14:textId="46598B14" w:rsidR="004C4BD6" w:rsidRPr="00632980" w:rsidRDefault="004C4BD6" w:rsidP="004C4BD6">
            <w:pPr>
              <w:jc w:val="both"/>
              <w:rPr>
                <w:noProof/>
                <w:shd w:val="clear" w:color="auto" w:fill="FFFFFF"/>
              </w:rPr>
            </w:pPr>
            <w:r w:rsidRPr="00632980">
              <w:rPr>
                <w:noProof/>
                <w:shd w:val="clear" w:color="auto" w:fill="FFFFFF"/>
              </w:rPr>
              <w:t xml:space="preserve">- mainīt azartspēļu nodokļa ieņēmumu sadalījumu pa valsts un pašvaldību budžetiem, paredzot azartspēļu nodokļa ieņēmumus (izņemot azartspēļu nodokļa ieņēmumus par likuma “Par izložu un azartspēļu nodevu un nodokli” 3.panta piektajā daļā minēto objektu) </w:t>
            </w:r>
            <w:r w:rsidR="00361DA7" w:rsidRPr="00632980">
              <w:rPr>
                <w:noProof/>
                <w:shd w:val="clear" w:color="auto" w:fill="FFFFFF"/>
              </w:rPr>
              <w:t>–</w:t>
            </w:r>
            <w:r w:rsidRPr="00632980">
              <w:rPr>
                <w:noProof/>
                <w:shd w:val="clear" w:color="auto" w:fill="FFFFFF"/>
              </w:rPr>
              <w:t xml:space="preserve"> </w:t>
            </w:r>
            <w:r w:rsidRPr="00632980">
              <w:rPr>
                <w:b/>
                <w:noProof/>
                <w:shd w:val="clear" w:color="auto" w:fill="FFFFFF"/>
              </w:rPr>
              <w:t>78</w:t>
            </w:r>
            <w:r w:rsidRPr="00632980">
              <w:rPr>
                <w:noProof/>
                <w:shd w:val="clear" w:color="auto" w:fill="FFFFFF"/>
              </w:rPr>
              <w:t xml:space="preserve"> procentu apmērā  ieskaitīt valsts pamatbudžetā, bet </w:t>
            </w:r>
            <w:r w:rsidRPr="00632980">
              <w:rPr>
                <w:b/>
                <w:noProof/>
                <w:shd w:val="clear" w:color="auto" w:fill="FFFFFF"/>
              </w:rPr>
              <w:t>22</w:t>
            </w:r>
            <w:r w:rsidRPr="00632980">
              <w:rPr>
                <w:noProof/>
                <w:shd w:val="clear" w:color="auto" w:fill="FFFFFF"/>
              </w:rPr>
              <w:t xml:space="preserve"> procentu apmērā ieskaitīt tās pašvaldības budžetā, kuras teritorijā tika organizēta azartspēle.</w:t>
            </w:r>
          </w:p>
          <w:p w14:paraId="6F2AEA08" w14:textId="3578E346" w:rsidR="00F64F56" w:rsidRPr="00632980" w:rsidRDefault="00F64F56" w:rsidP="0057142E">
            <w:pPr>
              <w:tabs>
                <w:tab w:val="center" w:pos="4680"/>
                <w:tab w:val="right" w:pos="9360"/>
              </w:tabs>
              <w:jc w:val="both"/>
              <w:rPr>
                <w:noProof/>
              </w:rPr>
            </w:pPr>
            <w:r w:rsidRPr="00632980">
              <w:rPr>
                <w:noProof/>
              </w:rPr>
              <w:t xml:space="preserve">Likumprojekts paredz, ka likums stāsies spēkā </w:t>
            </w:r>
            <w:r w:rsidRPr="00632980">
              <w:rPr>
                <w:noProof/>
                <w:shd w:val="clear" w:color="auto" w:fill="FFFFFF"/>
              </w:rPr>
              <w:t>2020.gada 1.janvārī</w:t>
            </w:r>
            <w:r w:rsidRPr="00632980">
              <w:rPr>
                <w:noProof/>
              </w:rPr>
              <w:t>.</w:t>
            </w:r>
          </w:p>
        </w:tc>
      </w:tr>
    </w:tbl>
    <w:p w14:paraId="23CD1405" w14:textId="77777777" w:rsidR="00724979" w:rsidRPr="00632980" w:rsidRDefault="00724979" w:rsidP="000D3520">
      <w:pPr>
        <w:jc w:val="center"/>
        <w:rPr>
          <w:b/>
          <w:bCs/>
          <w:noProof/>
          <w:lang w:eastAsia="ru-RU"/>
        </w:rPr>
      </w:pPr>
    </w:p>
    <w:tbl>
      <w:tblPr>
        <w:tblW w:w="5481" w:type="pct"/>
        <w:tblInd w:w="-5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08"/>
        <w:gridCol w:w="1926"/>
        <w:gridCol w:w="7292"/>
      </w:tblGrid>
      <w:tr w:rsidR="00A22B1F" w:rsidRPr="00632980" w14:paraId="63BF7298" w14:textId="77777777" w:rsidTr="0069144E">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3BF7297" w14:textId="77777777" w:rsidR="001E4890" w:rsidRPr="00632980" w:rsidRDefault="001E4890" w:rsidP="000D3520">
            <w:pPr>
              <w:pStyle w:val="NormalWeb"/>
              <w:spacing w:before="0" w:beforeAutospacing="0" w:after="0" w:afterAutospacing="0"/>
              <w:jc w:val="center"/>
              <w:rPr>
                <w:b/>
                <w:bCs/>
                <w:noProof/>
              </w:rPr>
            </w:pPr>
            <w:r w:rsidRPr="00632980">
              <w:rPr>
                <w:b/>
                <w:bCs/>
                <w:noProof/>
              </w:rPr>
              <w:t>I. Tiesību akta projekta izstrādes nepieciešamība</w:t>
            </w:r>
          </w:p>
        </w:tc>
      </w:tr>
      <w:tr w:rsidR="00A22B1F" w:rsidRPr="00632980" w14:paraId="63BF729E" w14:textId="77777777" w:rsidTr="0069144E">
        <w:trPr>
          <w:trHeight w:val="646"/>
        </w:trPr>
        <w:tc>
          <w:tcPr>
            <w:tcW w:w="357" w:type="pct"/>
            <w:tcBorders>
              <w:top w:val="outset" w:sz="6" w:space="0" w:color="000000"/>
              <w:left w:val="outset" w:sz="6" w:space="0" w:color="000000"/>
              <w:bottom w:val="outset" w:sz="6" w:space="0" w:color="000000"/>
              <w:right w:val="outset" w:sz="6" w:space="0" w:color="000000"/>
            </w:tcBorders>
            <w:hideMark/>
          </w:tcPr>
          <w:p w14:paraId="63BF7299" w14:textId="77777777" w:rsidR="001E4890" w:rsidRPr="00632980" w:rsidRDefault="001E4890" w:rsidP="000D3520">
            <w:pPr>
              <w:pStyle w:val="NormalWeb"/>
              <w:spacing w:before="0" w:beforeAutospacing="0" w:after="0" w:afterAutospacing="0"/>
              <w:rPr>
                <w:noProof/>
              </w:rPr>
            </w:pPr>
            <w:r w:rsidRPr="00632980">
              <w:rPr>
                <w:noProof/>
              </w:rPr>
              <w:t>1.</w:t>
            </w:r>
          </w:p>
        </w:tc>
        <w:tc>
          <w:tcPr>
            <w:tcW w:w="970" w:type="pct"/>
            <w:tcBorders>
              <w:top w:val="outset" w:sz="6" w:space="0" w:color="000000"/>
              <w:left w:val="outset" w:sz="6" w:space="0" w:color="000000"/>
              <w:bottom w:val="outset" w:sz="6" w:space="0" w:color="000000"/>
              <w:right w:val="outset" w:sz="6" w:space="0" w:color="000000"/>
            </w:tcBorders>
            <w:hideMark/>
          </w:tcPr>
          <w:p w14:paraId="63BF729A" w14:textId="77777777" w:rsidR="001E4890" w:rsidRPr="00632980" w:rsidRDefault="001E4890" w:rsidP="000D3520">
            <w:pPr>
              <w:pStyle w:val="NormalWeb"/>
              <w:spacing w:before="0" w:beforeAutospacing="0" w:after="0" w:afterAutospacing="0"/>
              <w:rPr>
                <w:noProof/>
              </w:rPr>
            </w:pPr>
            <w:r w:rsidRPr="00632980">
              <w:rPr>
                <w:noProof/>
              </w:rPr>
              <w:t>Pamatojums</w:t>
            </w:r>
          </w:p>
        </w:tc>
        <w:tc>
          <w:tcPr>
            <w:tcW w:w="3673" w:type="pct"/>
            <w:tcBorders>
              <w:top w:val="outset" w:sz="6" w:space="0" w:color="000000"/>
              <w:left w:val="outset" w:sz="6" w:space="0" w:color="000000"/>
              <w:bottom w:val="outset" w:sz="6" w:space="0" w:color="000000"/>
              <w:right w:val="outset" w:sz="6" w:space="0" w:color="000000"/>
            </w:tcBorders>
            <w:hideMark/>
          </w:tcPr>
          <w:p w14:paraId="63BF729D" w14:textId="78772AA0" w:rsidR="00F30AEB" w:rsidRPr="00632980" w:rsidRDefault="008B6A0C" w:rsidP="008E4466">
            <w:pPr>
              <w:pStyle w:val="Heading3"/>
              <w:shd w:val="clear" w:color="auto" w:fill="FFFFFF"/>
              <w:ind w:firstLine="0"/>
              <w:jc w:val="both"/>
              <w:rPr>
                <w:noProof/>
                <w:sz w:val="24"/>
                <w:szCs w:val="24"/>
              </w:rPr>
            </w:pPr>
            <w:r w:rsidRPr="00632980">
              <w:rPr>
                <w:noProof/>
                <w:sz w:val="24"/>
                <w:szCs w:val="24"/>
              </w:rPr>
              <w:t>Ministru kabineta 201</w:t>
            </w:r>
            <w:r w:rsidR="00E52F67" w:rsidRPr="00632980">
              <w:rPr>
                <w:noProof/>
                <w:sz w:val="24"/>
                <w:szCs w:val="24"/>
              </w:rPr>
              <w:t>9</w:t>
            </w:r>
            <w:r w:rsidRPr="00632980">
              <w:rPr>
                <w:noProof/>
                <w:sz w:val="24"/>
                <w:szCs w:val="24"/>
              </w:rPr>
              <w:t xml:space="preserve">.gada </w:t>
            </w:r>
            <w:r w:rsidR="0057142E" w:rsidRPr="00632980">
              <w:rPr>
                <w:noProof/>
                <w:sz w:val="24"/>
                <w:szCs w:val="24"/>
              </w:rPr>
              <w:t>13</w:t>
            </w:r>
            <w:r w:rsidRPr="00632980">
              <w:rPr>
                <w:noProof/>
                <w:sz w:val="24"/>
                <w:szCs w:val="24"/>
              </w:rPr>
              <w:t>.</w:t>
            </w:r>
            <w:r w:rsidR="00901927" w:rsidRPr="00632980">
              <w:rPr>
                <w:noProof/>
                <w:sz w:val="24"/>
                <w:szCs w:val="24"/>
              </w:rPr>
              <w:t>septembra</w:t>
            </w:r>
            <w:r w:rsidRPr="00632980">
              <w:rPr>
                <w:noProof/>
                <w:sz w:val="24"/>
                <w:szCs w:val="24"/>
              </w:rPr>
              <w:t xml:space="preserve"> sēdes</w:t>
            </w:r>
            <w:r w:rsidR="002348C4" w:rsidRPr="00632980">
              <w:rPr>
                <w:noProof/>
                <w:sz w:val="24"/>
                <w:szCs w:val="24"/>
              </w:rPr>
              <w:t xml:space="preserve"> protokol</w:t>
            </w:r>
            <w:r w:rsidR="00171DC4" w:rsidRPr="00632980">
              <w:rPr>
                <w:noProof/>
                <w:sz w:val="24"/>
                <w:szCs w:val="24"/>
              </w:rPr>
              <w:t>a</w:t>
            </w:r>
            <w:r w:rsidRPr="00632980">
              <w:rPr>
                <w:noProof/>
                <w:sz w:val="24"/>
                <w:szCs w:val="24"/>
              </w:rPr>
              <w:t xml:space="preserve"> Nr.</w:t>
            </w:r>
            <w:r w:rsidR="008E4466" w:rsidRPr="00632980">
              <w:rPr>
                <w:noProof/>
                <w:sz w:val="24"/>
                <w:szCs w:val="24"/>
              </w:rPr>
              <w:t>41</w:t>
            </w:r>
            <w:r w:rsidRPr="00632980">
              <w:rPr>
                <w:noProof/>
                <w:sz w:val="24"/>
                <w:szCs w:val="24"/>
              </w:rPr>
              <w:t xml:space="preserve"> </w:t>
            </w:r>
            <w:r w:rsidR="008E4466" w:rsidRPr="00632980">
              <w:rPr>
                <w:noProof/>
                <w:sz w:val="24"/>
                <w:szCs w:val="24"/>
              </w:rPr>
              <w:t>1</w:t>
            </w:r>
            <w:r w:rsidR="002348C4" w:rsidRPr="00632980">
              <w:rPr>
                <w:noProof/>
                <w:sz w:val="24"/>
                <w:szCs w:val="24"/>
              </w:rPr>
              <w:t xml:space="preserve">.§ </w:t>
            </w:r>
            <w:r w:rsidR="00E52F67" w:rsidRPr="00632980">
              <w:rPr>
                <w:noProof/>
                <w:sz w:val="24"/>
                <w:szCs w:val="24"/>
              </w:rPr>
              <w:t>“</w:t>
            </w:r>
            <w:r w:rsidR="008E4466" w:rsidRPr="00632980">
              <w:rPr>
                <w:sz w:val="24"/>
                <w:szCs w:val="24"/>
                <w:shd w:val="clear" w:color="auto" w:fill="FFFFFF"/>
              </w:rPr>
              <w:t>Informatīvais ziņojums “Par fiskālās telpas pasākumiem un izdevumiem prioritārajiem pasākumiem valsts budžetam 2020.gadam un ietvaram 2020.–2022.gadam</w:t>
            </w:r>
            <w:r w:rsidRPr="00632980">
              <w:rPr>
                <w:noProof/>
                <w:sz w:val="24"/>
                <w:szCs w:val="24"/>
              </w:rPr>
              <w:t>””</w:t>
            </w:r>
            <w:r w:rsidR="00901927" w:rsidRPr="00632980">
              <w:rPr>
                <w:noProof/>
                <w:sz w:val="24"/>
                <w:szCs w:val="24"/>
              </w:rPr>
              <w:t xml:space="preserve"> </w:t>
            </w:r>
            <w:r w:rsidR="001172F6" w:rsidRPr="00632980">
              <w:rPr>
                <w:noProof/>
                <w:sz w:val="24"/>
                <w:szCs w:val="24"/>
              </w:rPr>
              <w:t>12.</w:t>
            </w:r>
            <w:r w:rsidR="00901927" w:rsidRPr="00632980">
              <w:rPr>
                <w:noProof/>
                <w:sz w:val="24"/>
                <w:szCs w:val="24"/>
              </w:rPr>
              <w:t>punkts</w:t>
            </w:r>
            <w:r w:rsidRPr="00632980">
              <w:rPr>
                <w:noProof/>
                <w:sz w:val="24"/>
                <w:szCs w:val="24"/>
              </w:rPr>
              <w:t>.</w:t>
            </w:r>
          </w:p>
        </w:tc>
      </w:tr>
      <w:tr w:rsidR="00A22B1F" w:rsidRPr="00632980" w14:paraId="63BF72AE" w14:textId="77777777" w:rsidTr="0069144E">
        <w:tc>
          <w:tcPr>
            <w:tcW w:w="357" w:type="pct"/>
            <w:tcBorders>
              <w:top w:val="outset" w:sz="6" w:space="0" w:color="000000"/>
              <w:left w:val="outset" w:sz="6" w:space="0" w:color="000000"/>
              <w:bottom w:val="outset" w:sz="6" w:space="0" w:color="000000"/>
              <w:right w:val="outset" w:sz="6" w:space="0" w:color="000000"/>
            </w:tcBorders>
            <w:hideMark/>
          </w:tcPr>
          <w:p w14:paraId="63BF729F" w14:textId="77777777" w:rsidR="001E4890" w:rsidRPr="00632980" w:rsidRDefault="001E4890" w:rsidP="000D3520">
            <w:pPr>
              <w:pStyle w:val="NormalWeb"/>
              <w:spacing w:before="0" w:beforeAutospacing="0" w:after="0" w:afterAutospacing="0"/>
              <w:rPr>
                <w:noProof/>
              </w:rPr>
            </w:pPr>
            <w:r w:rsidRPr="00632980">
              <w:rPr>
                <w:noProof/>
              </w:rPr>
              <w:t>2.</w:t>
            </w:r>
          </w:p>
        </w:tc>
        <w:tc>
          <w:tcPr>
            <w:tcW w:w="970" w:type="pct"/>
            <w:tcBorders>
              <w:top w:val="outset" w:sz="6" w:space="0" w:color="000000"/>
              <w:left w:val="outset" w:sz="6" w:space="0" w:color="000000"/>
              <w:bottom w:val="outset" w:sz="6" w:space="0" w:color="000000"/>
              <w:right w:val="outset" w:sz="6" w:space="0" w:color="000000"/>
            </w:tcBorders>
            <w:hideMark/>
          </w:tcPr>
          <w:p w14:paraId="63BF72A0" w14:textId="1700C9CB" w:rsidR="005D43EE" w:rsidRPr="00632980" w:rsidRDefault="001E4890" w:rsidP="000D3520">
            <w:pPr>
              <w:pStyle w:val="NormalWeb"/>
              <w:spacing w:before="0" w:beforeAutospacing="0" w:after="0" w:afterAutospacing="0"/>
              <w:rPr>
                <w:noProof/>
              </w:rPr>
            </w:pPr>
            <w:r w:rsidRPr="00632980">
              <w:rPr>
                <w:noProof/>
              </w:rPr>
              <w:t>Pašreizējā situācija un problēmas</w:t>
            </w:r>
            <w:r w:rsidR="002A4871" w:rsidRPr="00632980">
              <w:rPr>
                <w:noProof/>
              </w:rPr>
              <w:t>, kuru risināšanai tiesību akta projekts izstrādāts</w:t>
            </w:r>
            <w:r w:rsidR="002A7800" w:rsidRPr="00632980">
              <w:rPr>
                <w:noProof/>
              </w:rPr>
              <w:t>, tiesiskā regulējuma mērķis un būtība</w:t>
            </w:r>
          </w:p>
          <w:p w14:paraId="7B283A37" w14:textId="77777777" w:rsidR="005D43EE" w:rsidRPr="00632980" w:rsidRDefault="005D43EE" w:rsidP="005D43EE">
            <w:pPr>
              <w:rPr>
                <w:noProof/>
              </w:rPr>
            </w:pPr>
          </w:p>
          <w:p w14:paraId="42788311" w14:textId="77777777" w:rsidR="005D43EE" w:rsidRPr="00632980" w:rsidRDefault="005D43EE" w:rsidP="005D43EE">
            <w:pPr>
              <w:rPr>
                <w:noProof/>
              </w:rPr>
            </w:pPr>
          </w:p>
          <w:p w14:paraId="1D170B89" w14:textId="77777777" w:rsidR="005D43EE" w:rsidRPr="00632980" w:rsidRDefault="005D43EE" w:rsidP="005D43EE">
            <w:pPr>
              <w:rPr>
                <w:noProof/>
              </w:rPr>
            </w:pPr>
          </w:p>
          <w:p w14:paraId="769C97F9" w14:textId="77777777" w:rsidR="005D43EE" w:rsidRPr="00632980" w:rsidRDefault="005D43EE" w:rsidP="005D43EE">
            <w:pPr>
              <w:rPr>
                <w:noProof/>
              </w:rPr>
            </w:pPr>
          </w:p>
          <w:p w14:paraId="5B27D3CA" w14:textId="77777777" w:rsidR="005D43EE" w:rsidRPr="00632980" w:rsidRDefault="005D43EE" w:rsidP="005D43EE">
            <w:pPr>
              <w:rPr>
                <w:noProof/>
              </w:rPr>
            </w:pPr>
          </w:p>
          <w:p w14:paraId="4A7B9B4E" w14:textId="77777777" w:rsidR="005D43EE" w:rsidRPr="00632980" w:rsidRDefault="005D43EE" w:rsidP="005D43EE">
            <w:pPr>
              <w:rPr>
                <w:noProof/>
              </w:rPr>
            </w:pPr>
          </w:p>
          <w:p w14:paraId="784EAC84" w14:textId="77777777" w:rsidR="005D43EE" w:rsidRPr="00632980" w:rsidRDefault="005D43EE" w:rsidP="005D43EE">
            <w:pPr>
              <w:rPr>
                <w:noProof/>
              </w:rPr>
            </w:pPr>
          </w:p>
          <w:p w14:paraId="33AE8CB9" w14:textId="77777777" w:rsidR="005D43EE" w:rsidRPr="00632980" w:rsidRDefault="005D43EE" w:rsidP="005D43EE">
            <w:pPr>
              <w:rPr>
                <w:noProof/>
              </w:rPr>
            </w:pPr>
          </w:p>
          <w:p w14:paraId="626DC365" w14:textId="77777777" w:rsidR="005D43EE" w:rsidRPr="00632980" w:rsidRDefault="005D43EE" w:rsidP="005D43EE">
            <w:pPr>
              <w:rPr>
                <w:noProof/>
              </w:rPr>
            </w:pPr>
          </w:p>
          <w:p w14:paraId="6B3D4A0A" w14:textId="77777777" w:rsidR="005D43EE" w:rsidRPr="00632980" w:rsidRDefault="005D43EE" w:rsidP="005D43EE">
            <w:pPr>
              <w:rPr>
                <w:noProof/>
              </w:rPr>
            </w:pPr>
          </w:p>
          <w:p w14:paraId="3D23767A" w14:textId="77777777" w:rsidR="005D43EE" w:rsidRPr="00632980" w:rsidRDefault="005D43EE" w:rsidP="005D43EE">
            <w:pPr>
              <w:rPr>
                <w:noProof/>
              </w:rPr>
            </w:pPr>
          </w:p>
          <w:p w14:paraId="4A1F7C33" w14:textId="77777777" w:rsidR="005D43EE" w:rsidRPr="00632980" w:rsidRDefault="005D43EE" w:rsidP="005D43EE">
            <w:pPr>
              <w:rPr>
                <w:noProof/>
              </w:rPr>
            </w:pPr>
          </w:p>
          <w:p w14:paraId="72F21965" w14:textId="39445C04" w:rsidR="00EB7517" w:rsidRDefault="00EB7517" w:rsidP="005D43EE">
            <w:pPr>
              <w:rPr>
                <w:noProof/>
              </w:rPr>
            </w:pPr>
          </w:p>
          <w:p w14:paraId="7977C020" w14:textId="77777777" w:rsidR="00EB7517" w:rsidRPr="00935E77" w:rsidRDefault="00EB7517" w:rsidP="00EB7517"/>
          <w:p w14:paraId="0E8AD2B5" w14:textId="7EC227A4" w:rsidR="006A4808" w:rsidRPr="00935E77" w:rsidRDefault="006A4808"/>
          <w:p w14:paraId="5EA3D078" w14:textId="77777777" w:rsidR="006A4808" w:rsidRPr="00814464" w:rsidRDefault="006A4808" w:rsidP="006A4808"/>
          <w:p w14:paraId="3E27E6A4" w14:textId="1BC7E4DE" w:rsidR="005D43EE" w:rsidRPr="00814464" w:rsidRDefault="005D43EE"/>
          <w:p w14:paraId="413B2930" w14:textId="77777777" w:rsidR="005D43EE" w:rsidRPr="00632980" w:rsidRDefault="005D43EE" w:rsidP="005D43EE">
            <w:pPr>
              <w:rPr>
                <w:noProof/>
              </w:rPr>
            </w:pPr>
          </w:p>
          <w:p w14:paraId="66944725" w14:textId="77777777" w:rsidR="005D43EE" w:rsidRPr="00632980" w:rsidRDefault="005D43EE" w:rsidP="005D43EE">
            <w:pPr>
              <w:rPr>
                <w:noProof/>
              </w:rPr>
            </w:pPr>
          </w:p>
          <w:p w14:paraId="29D1525A" w14:textId="77777777" w:rsidR="005D43EE" w:rsidRPr="00632980" w:rsidRDefault="005D43EE" w:rsidP="005D43EE">
            <w:pPr>
              <w:rPr>
                <w:noProof/>
              </w:rPr>
            </w:pPr>
          </w:p>
          <w:p w14:paraId="685A24F3" w14:textId="77777777" w:rsidR="005D43EE" w:rsidRPr="00632980" w:rsidRDefault="005D43EE" w:rsidP="005D43EE">
            <w:pPr>
              <w:rPr>
                <w:noProof/>
              </w:rPr>
            </w:pPr>
          </w:p>
          <w:p w14:paraId="2691043B" w14:textId="77777777" w:rsidR="005D43EE" w:rsidRPr="00632980" w:rsidRDefault="005D43EE" w:rsidP="005D43EE">
            <w:pPr>
              <w:rPr>
                <w:noProof/>
              </w:rPr>
            </w:pPr>
          </w:p>
          <w:p w14:paraId="7CEC6D29" w14:textId="77777777" w:rsidR="005D43EE" w:rsidRPr="00632980" w:rsidRDefault="005D43EE" w:rsidP="005D43EE">
            <w:pPr>
              <w:rPr>
                <w:noProof/>
              </w:rPr>
            </w:pPr>
          </w:p>
          <w:p w14:paraId="3CAF017D" w14:textId="77777777" w:rsidR="005D43EE" w:rsidRPr="00632980" w:rsidRDefault="005D43EE" w:rsidP="005D43EE">
            <w:pPr>
              <w:rPr>
                <w:noProof/>
              </w:rPr>
            </w:pPr>
          </w:p>
          <w:p w14:paraId="3D457942" w14:textId="77777777" w:rsidR="005D43EE" w:rsidRPr="00632980" w:rsidRDefault="005D43EE" w:rsidP="005D43EE">
            <w:pPr>
              <w:rPr>
                <w:noProof/>
              </w:rPr>
            </w:pPr>
          </w:p>
          <w:p w14:paraId="00D09CEB" w14:textId="77777777" w:rsidR="005D43EE" w:rsidRPr="00632980" w:rsidRDefault="005D43EE" w:rsidP="005D43EE">
            <w:pPr>
              <w:rPr>
                <w:noProof/>
              </w:rPr>
            </w:pPr>
          </w:p>
          <w:p w14:paraId="24086BD8" w14:textId="77777777" w:rsidR="005D43EE" w:rsidRPr="00632980" w:rsidRDefault="005D43EE" w:rsidP="005D43EE">
            <w:pPr>
              <w:rPr>
                <w:noProof/>
              </w:rPr>
            </w:pPr>
          </w:p>
          <w:p w14:paraId="02357FA4" w14:textId="77777777" w:rsidR="005D43EE" w:rsidRPr="00632980" w:rsidRDefault="005D43EE" w:rsidP="005D43EE">
            <w:pPr>
              <w:rPr>
                <w:noProof/>
              </w:rPr>
            </w:pPr>
          </w:p>
          <w:p w14:paraId="7C2C69A7" w14:textId="77777777" w:rsidR="005D43EE" w:rsidRPr="00632980" w:rsidRDefault="005D43EE" w:rsidP="005D43EE">
            <w:pPr>
              <w:rPr>
                <w:noProof/>
              </w:rPr>
            </w:pPr>
          </w:p>
          <w:p w14:paraId="3C543B0A" w14:textId="77777777" w:rsidR="005D43EE" w:rsidRPr="00632980" w:rsidRDefault="005D43EE" w:rsidP="005D43EE">
            <w:pPr>
              <w:rPr>
                <w:noProof/>
              </w:rPr>
            </w:pPr>
          </w:p>
          <w:p w14:paraId="2014DFF9" w14:textId="77777777" w:rsidR="005D43EE" w:rsidRPr="00632980" w:rsidRDefault="005D43EE" w:rsidP="005D43EE">
            <w:pPr>
              <w:rPr>
                <w:noProof/>
              </w:rPr>
            </w:pPr>
          </w:p>
          <w:p w14:paraId="63D3A4FC" w14:textId="77777777" w:rsidR="005D43EE" w:rsidRPr="00632980" w:rsidRDefault="005D43EE" w:rsidP="005D43EE">
            <w:pPr>
              <w:rPr>
                <w:noProof/>
              </w:rPr>
            </w:pPr>
          </w:p>
          <w:p w14:paraId="7F81F850" w14:textId="77777777" w:rsidR="005D43EE" w:rsidRPr="00632980" w:rsidRDefault="005D43EE" w:rsidP="005D43EE">
            <w:pPr>
              <w:rPr>
                <w:noProof/>
              </w:rPr>
            </w:pPr>
          </w:p>
          <w:p w14:paraId="3EC626F1" w14:textId="77777777" w:rsidR="005D43EE" w:rsidRPr="00632980" w:rsidRDefault="005D43EE" w:rsidP="005D43EE">
            <w:pPr>
              <w:rPr>
                <w:noProof/>
              </w:rPr>
            </w:pPr>
          </w:p>
          <w:p w14:paraId="2B7C9E2B" w14:textId="77777777" w:rsidR="005D43EE" w:rsidRPr="00632980" w:rsidRDefault="005D43EE" w:rsidP="005D43EE">
            <w:pPr>
              <w:rPr>
                <w:noProof/>
              </w:rPr>
            </w:pPr>
          </w:p>
          <w:p w14:paraId="550BB5B0" w14:textId="77777777" w:rsidR="005D43EE" w:rsidRPr="00632980" w:rsidRDefault="005D43EE" w:rsidP="005D43EE">
            <w:pPr>
              <w:rPr>
                <w:noProof/>
              </w:rPr>
            </w:pPr>
          </w:p>
          <w:p w14:paraId="144A1C48" w14:textId="66CCACBD" w:rsidR="001E4890" w:rsidRPr="00632980" w:rsidRDefault="001E4890" w:rsidP="005D43EE">
            <w:pPr>
              <w:rPr>
                <w:noProof/>
              </w:rPr>
            </w:pPr>
          </w:p>
        </w:tc>
        <w:tc>
          <w:tcPr>
            <w:tcW w:w="3673" w:type="pct"/>
            <w:tcBorders>
              <w:top w:val="outset" w:sz="6" w:space="0" w:color="000000"/>
              <w:left w:val="outset" w:sz="6" w:space="0" w:color="000000"/>
              <w:bottom w:val="outset" w:sz="6" w:space="0" w:color="000000"/>
              <w:right w:val="outset" w:sz="6" w:space="0" w:color="000000"/>
            </w:tcBorders>
          </w:tcPr>
          <w:p w14:paraId="2D88FA52" w14:textId="530404A2" w:rsidR="008E4466" w:rsidRPr="00632980" w:rsidRDefault="00355287">
            <w:pPr>
              <w:jc w:val="both"/>
              <w:rPr>
                <w:shd w:val="clear" w:color="auto" w:fill="FFFFFF"/>
              </w:rPr>
            </w:pPr>
            <w:r w:rsidRPr="00632980">
              <w:rPr>
                <w:noProof/>
              </w:rPr>
              <w:lastRenderedPageBreak/>
              <w:t xml:space="preserve">Ministru kabineta 2019.gada </w:t>
            </w:r>
            <w:r w:rsidR="00610786" w:rsidRPr="00632980">
              <w:rPr>
                <w:noProof/>
              </w:rPr>
              <w:t>13</w:t>
            </w:r>
            <w:r w:rsidRPr="00632980">
              <w:rPr>
                <w:noProof/>
              </w:rPr>
              <w:t>.septembra sēdes protokola Nr.</w:t>
            </w:r>
            <w:r w:rsidR="008E4466" w:rsidRPr="00632980">
              <w:rPr>
                <w:noProof/>
              </w:rPr>
              <w:t>41</w:t>
            </w:r>
            <w:r w:rsidRPr="00632980">
              <w:rPr>
                <w:noProof/>
              </w:rPr>
              <w:t xml:space="preserve"> </w:t>
            </w:r>
            <w:r w:rsidR="008E4466" w:rsidRPr="00632980">
              <w:rPr>
                <w:noProof/>
              </w:rPr>
              <w:t>1</w:t>
            </w:r>
            <w:r w:rsidRPr="00632980">
              <w:rPr>
                <w:noProof/>
              </w:rPr>
              <w:t>.§ “</w:t>
            </w:r>
            <w:r w:rsidR="008E4466" w:rsidRPr="00632980">
              <w:rPr>
                <w:shd w:val="clear" w:color="auto" w:fill="FFFFFF"/>
              </w:rPr>
              <w:t>Informatīvais ziņojums “Par fiskālās telpas pasākumiem un izdevumiem prioritārajiem pasākumiem valsts budžetam 2020.gadam un ietvaram 2020.–2022.gadam</w:t>
            </w:r>
            <w:r w:rsidRPr="00632980">
              <w:rPr>
                <w:noProof/>
              </w:rPr>
              <w:t xml:space="preserve">”” </w:t>
            </w:r>
            <w:r w:rsidR="004C4BD6" w:rsidRPr="00632980">
              <w:rPr>
                <w:noProof/>
              </w:rPr>
              <w:t>12.</w:t>
            </w:r>
            <w:r w:rsidRPr="00632980">
              <w:rPr>
                <w:noProof/>
              </w:rPr>
              <w:t xml:space="preserve">punktā dots uzdevums </w:t>
            </w:r>
            <w:r w:rsidR="008E4466" w:rsidRPr="00632980">
              <w:rPr>
                <w:shd w:val="clear" w:color="auto" w:fill="FFFFFF"/>
              </w:rPr>
              <w:t>Finanšu ministrijai sagatavot un iesniegt izskatīšanai Ministru kabinetā 2020.gada budžeta likumprojektu paketē grozījumus likumā “Par izložu un azartspēļu nodevu un nodokli”, kurš ar 2020.gadu paredz:</w:t>
            </w:r>
          </w:p>
          <w:p w14:paraId="60644718" w14:textId="46778E92" w:rsidR="008E4466" w:rsidRPr="00632980" w:rsidRDefault="008E4466">
            <w:pPr>
              <w:jc w:val="both"/>
              <w:rPr>
                <w:shd w:val="clear" w:color="auto" w:fill="FFFFFF"/>
              </w:rPr>
            </w:pPr>
            <w:r w:rsidRPr="00632980">
              <w:rPr>
                <w:shd w:val="clear" w:color="auto" w:fill="FFFFFF"/>
              </w:rPr>
              <w:t xml:space="preserve">12.1. paaugstināt azartspēļu nodokļa likmi videospēles un mehāniskiem automātiem – par katra automāta katru spēles vietu līdz 6000 </w:t>
            </w:r>
            <w:proofErr w:type="spellStart"/>
            <w:r w:rsidRPr="00632980">
              <w:rPr>
                <w:i/>
                <w:shd w:val="clear" w:color="auto" w:fill="FFFFFF"/>
              </w:rPr>
              <w:t>euro</w:t>
            </w:r>
            <w:proofErr w:type="spellEnd"/>
            <w:r w:rsidRPr="00632980">
              <w:rPr>
                <w:shd w:val="clear" w:color="auto" w:fill="FFFFFF"/>
              </w:rPr>
              <w:t xml:space="preserve"> par kalendāro gadu (500 </w:t>
            </w:r>
            <w:proofErr w:type="spellStart"/>
            <w:r w:rsidRPr="00632980">
              <w:rPr>
                <w:i/>
                <w:shd w:val="clear" w:color="auto" w:fill="FFFFFF"/>
              </w:rPr>
              <w:t>euro</w:t>
            </w:r>
            <w:proofErr w:type="spellEnd"/>
            <w:r w:rsidRPr="00632980">
              <w:rPr>
                <w:shd w:val="clear" w:color="auto" w:fill="FFFFFF"/>
              </w:rPr>
              <w:t xml:space="preserve"> mēnesī);</w:t>
            </w:r>
          </w:p>
          <w:p w14:paraId="62B00969" w14:textId="77777777" w:rsidR="008E4466" w:rsidRPr="00632980" w:rsidRDefault="008E4466">
            <w:pPr>
              <w:jc w:val="both"/>
              <w:rPr>
                <w:shd w:val="clear" w:color="auto" w:fill="FFFFFF"/>
              </w:rPr>
            </w:pPr>
            <w:r w:rsidRPr="00632980">
              <w:rPr>
                <w:shd w:val="clear" w:color="auto" w:fill="FFFFFF"/>
              </w:rPr>
              <w:t>12.2. mainīt azartspēļu nodokļa ieņēmumu sadalījumu pa valsts un pašvaldību budžetiem, paredzot azartspēļu nodokļa ieņēmumus (izņemot azartspēļu nodokļa ieņēmumus par likuma “Par izložu un azartspēļu nodevu un nodokli” 3.panta piektajā daļā minēto objektu) 78 procentu apmērā ieskaitīt valsts pamatbudžetā, bet 22 procentu apmērā ieskaitīt tās pašvaldības budžetā, kuras teritorijā tika organizēta azartspēle;</w:t>
            </w:r>
          </w:p>
          <w:p w14:paraId="2F36AFBC" w14:textId="77777777" w:rsidR="008E4466" w:rsidRPr="00632980" w:rsidRDefault="008E4466">
            <w:pPr>
              <w:jc w:val="both"/>
              <w:rPr>
                <w:shd w:val="clear" w:color="auto" w:fill="FFFFFF"/>
              </w:rPr>
            </w:pPr>
            <w:r w:rsidRPr="00632980">
              <w:rPr>
                <w:shd w:val="clear" w:color="auto" w:fill="FFFFFF"/>
              </w:rPr>
              <w:t xml:space="preserve">12.3. paaugstināt azartspēļu nodokļa likmi ruletei un kāršu un kauliņu spēlei (par katru galdu) līdz 28 080 </w:t>
            </w:r>
            <w:proofErr w:type="spellStart"/>
            <w:r w:rsidRPr="00632980">
              <w:rPr>
                <w:i/>
                <w:shd w:val="clear" w:color="auto" w:fill="FFFFFF"/>
              </w:rPr>
              <w:t>euro</w:t>
            </w:r>
            <w:proofErr w:type="spellEnd"/>
            <w:r w:rsidRPr="00632980">
              <w:rPr>
                <w:shd w:val="clear" w:color="auto" w:fill="FFFFFF"/>
              </w:rPr>
              <w:t xml:space="preserve"> par kalendāro gadu.</w:t>
            </w:r>
          </w:p>
          <w:p w14:paraId="091CAB0A" w14:textId="1D2424A7" w:rsidR="007D4A68" w:rsidRPr="00632980" w:rsidRDefault="007D4A68">
            <w:pPr>
              <w:jc w:val="both"/>
              <w:rPr>
                <w:noProof/>
                <w:shd w:val="clear" w:color="auto" w:fill="FFFFFF"/>
              </w:rPr>
            </w:pPr>
            <w:r w:rsidRPr="00632980">
              <w:rPr>
                <w:noProof/>
              </w:rPr>
              <w:t xml:space="preserve">Likuma “Par izložu un azartspēļu nodevu un nodokli” 3.panta pirmā daļa </w:t>
            </w:r>
            <w:r w:rsidR="00C6235F" w:rsidRPr="00632980">
              <w:rPr>
                <w:noProof/>
              </w:rPr>
              <w:t>nosaka</w:t>
            </w:r>
            <w:r w:rsidRPr="00632980">
              <w:rPr>
                <w:noProof/>
              </w:rPr>
              <w:t>, ka </w:t>
            </w:r>
            <w:r w:rsidRPr="00632980">
              <w:rPr>
                <w:noProof/>
                <w:shd w:val="clear" w:color="auto" w:fill="FFFFFF"/>
              </w:rPr>
              <w:t xml:space="preserve">ar azartspēļu nodokli apliekamais objekts ir azartspēļu </w:t>
            </w:r>
            <w:r w:rsidRPr="00632980">
              <w:rPr>
                <w:noProof/>
                <w:shd w:val="clear" w:color="auto" w:fill="FFFFFF"/>
              </w:rPr>
              <w:lastRenderedPageBreak/>
              <w:t>organizētājs</w:t>
            </w:r>
            <w:r w:rsidR="00C6235F" w:rsidRPr="00632980">
              <w:rPr>
                <w:noProof/>
                <w:shd w:val="clear" w:color="auto" w:fill="FFFFFF"/>
              </w:rPr>
              <w:t xml:space="preserve"> </w:t>
            </w:r>
            <w:r w:rsidRPr="00632980">
              <w:rPr>
                <w:noProof/>
              </w:rPr>
              <w:t>–</w:t>
            </w:r>
            <w:r w:rsidR="00572A89" w:rsidRPr="00632980">
              <w:rPr>
                <w:noProof/>
              </w:rPr>
              <w:t xml:space="preserve"> </w:t>
            </w:r>
            <w:r w:rsidRPr="00632980">
              <w:rPr>
                <w:noProof/>
                <w:shd w:val="clear" w:color="auto" w:fill="FFFFFF"/>
              </w:rPr>
              <w:t xml:space="preserve">kapitālsabiedrība, azartspēļu norises vieta un spēļu iekārtas. No katras iekārtotās vai uzstādītās azartspēļu tiešās norises vietas iekasējams nodoklis par katru kārtējo kalendāro gadu </w:t>
            </w:r>
            <w:r w:rsidR="0098221D" w:rsidRPr="00632980">
              <w:rPr>
                <w:noProof/>
                <w:shd w:val="clear" w:color="auto" w:fill="FFFFFF"/>
              </w:rPr>
              <w:t>pēc</w:t>
            </w:r>
            <w:r w:rsidRPr="00632980">
              <w:rPr>
                <w:noProof/>
                <w:shd w:val="clear" w:color="auto" w:fill="FFFFFF"/>
              </w:rPr>
              <w:t xml:space="preserve"> šā panta pirmajā daļā noteiktajām likmēm.</w:t>
            </w:r>
          </w:p>
          <w:p w14:paraId="08976C7A" w14:textId="454FA606" w:rsidR="00B13591" w:rsidRPr="00632980" w:rsidRDefault="00B13591" w:rsidP="008D74EA">
            <w:pPr>
              <w:jc w:val="both"/>
              <w:rPr>
                <w:noProof/>
                <w:shd w:val="clear" w:color="auto" w:fill="FFFFFF"/>
              </w:rPr>
            </w:pPr>
            <w:r w:rsidRPr="00632980">
              <w:rPr>
                <w:noProof/>
                <w:shd w:val="clear" w:color="auto" w:fill="FFFFFF"/>
              </w:rPr>
              <w:t>Likuma “Par izložu un azartspēļu nodevu un nodokli” 3.panta pirmajā daļā azartspēļu nodokļa likmes ir noteiktas naudiskā, nevis procentuālā izteiksmē kā lielākajai daļai nodokļu, kuras neietekmē inflācija. Līdz ar to</w:t>
            </w:r>
            <w:r w:rsidR="00415051" w:rsidRPr="00632980">
              <w:rPr>
                <w:noProof/>
                <w:shd w:val="clear" w:color="auto" w:fill="FFFFFF"/>
              </w:rPr>
              <w:t>,</w:t>
            </w:r>
            <w:r w:rsidRPr="00632980">
              <w:rPr>
                <w:noProof/>
                <w:shd w:val="clear" w:color="auto" w:fill="FFFFFF"/>
              </w:rPr>
              <w:t xml:space="preserve"> būtu lietderīgi pārskatīt naudiskā izteiksmē noteiktās azartspēļu nodokļa likmes ik pēc noteikta laika perioda. </w:t>
            </w:r>
          </w:p>
          <w:p w14:paraId="37F2553E" w14:textId="0A491CB0" w:rsidR="00B13591" w:rsidRPr="00632980" w:rsidRDefault="00E34F02" w:rsidP="00AB439A">
            <w:pPr>
              <w:jc w:val="both"/>
              <w:rPr>
                <w:noProof/>
                <w:shd w:val="clear" w:color="auto" w:fill="FFFFFF"/>
              </w:rPr>
            </w:pPr>
            <w:r w:rsidRPr="00632980">
              <w:rPr>
                <w:noProof/>
                <w:shd w:val="clear" w:color="auto" w:fill="FFFFFF"/>
              </w:rPr>
              <w:t>Šobrīd l</w:t>
            </w:r>
            <w:r w:rsidRPr="00632980">
              <w:rPr>
                <w:noProof/>
              </w:rPr>
              <w:t>ikuma “Par izložu un azartspēļu nodevu un nodokli” 3.panta pirmajā daļā </w:t>
            </w:r>
            <w:r w:rsidRPr="00632980">
              <w:rPr>
                <w:noProof/>
                <w:shd w:val="clear" w:color="auto" w:fill="FFFFFF"/>
              </w:rPr>
              <w:t>azartspēļu nodokļa likme ruletei (cilindriskajai spēlei) </w:t>
            </w:r>
            <w:r w:rsidRPr="00632980">
              <w:rPr>
                <w:noProof/>
              </w:rPr>
              <w:t> –</w:t>
            </w:r>
            <w:r w:rsidRPr="00632980">
              <w:rPr>
                <w:noProof/>
                <w:shd w:val="clear" w:color="auto" w:fill="FFFFFF"/>
              </w:rPr>
              <w:t> par katru ruletes rotējošajai iekārtai pievienoto spēļu galdu ir noteikta 23 400 </w:t>
            </w:r>
            <w:r w:rsidRPr="00632980">
              <w:rPr>
                <w:i/>
                <w:iCs/>
                <w:noProof/>
                <w:shd w:val="clear" w:color="auto" w:fill="FFFFFF"/>
              </w:rPr>
              <w:t>euro</w:t>
            </w:r>
            <w:r w:rsidRPr="00632980">
              <w:rPr>
                <w:noProof/>
                <w:shd w:val="clear" w:color="auto" w:fill="FFFFFF"/>
              </w:rPr>
              <w:t>. Azartspēļu nodokļa likme kāršu un kauliņu spēlēm </w:t>
            </w:r>
            <w:r w:rsidRPr="00632980">
              <w:rPr>
                <w:noProof/>
              </w:rPr>
              <w:t>–</w:t>
            </w:r>
            <w:r w:rsidRPr="00632980">
              <w:rPr>
                <w:noProof/>
                <w:shd w:val="clear" w:color="auto" w:fill="FFFFFF"/>
              </w:rPr>
              <w:t> par katru galdu ir noteikta 23 400 </w:t>
            </w:r>
            <w:r w:rsidRPr="00632980">
              <w:rPr>
                <w:i/>
                <w:iCs/>
                <w:noProof/>
                <w:shd w:val="clear" w:color="auto" w:fill="FFFFFF"/>
              </w:rPr>
              <w:t>euro</w:t>
            </w:r>
            <w:r w:rsidRPr="00632980">
              <w:rPr>
                <w:noProof/>
                <w:shd w:val="clear" w:color="auto" w:fill="FFFFFF"/>
              </w:rPr>
              <w:t>. A</w:t>
            </w:r>
            <w:r w:rsidR="00B13591" w:rsidRPr="00632980">
              <w:rPr>
                <w:noProof/>
                <w:shd w:val="clear" w:color="auto" w:fill="FFFFFF"/>
              </w:rPr>
              <w:t>zartspēļu nodokļa likme videospēles un mehāniskiem automātiem </w:t>
            </w:r>
            <w:r w:rsidR="00B13591" w:rsidRPr="00632980">
              <w:rPr>
                <w:noProof/>
              </w:rPr>
              <w:t>–</w:t>
            </w:r>
            <w:r w:rsidR="00B13591" w:rsidRPr="00632980">
              <w:rPr>
                <w:noProof/>
                <w:shd w:val="clear" w:color="auto" w:fill="FFFFFF"/>
              </w:rPr>
              <w:t> par katra automāta katru spēles vietu ir noteikta 4164 </w:t>
            </w:r>
            <w:r w:rsidR="00B13591" w:rsidRPr="00632980">
              <w:rPr>
                <w:i/>
                <w:iCs/>
                <w:noProof/>
                <w:shd w:val="clear" w:color="auto" w:fill="FFFFFF"/>
              </w:rPr>
              <w:t>euro</w:t>
            </w:r>
            <w:r w:rsidR="00B13591" w:rsidRPr="00632980">
              <w:rPr>
                <w:noProof/>
                <w:shd w:val="clear" w:color="auto" w:fill="FFFFFF"/>
              </w:rPr>
              <w:t>.</w:t>
            </w:r>
          </w:p>
          <w:p w14:paraId="77132B59" w14:textId="6E5DE1CC" w:rsidR="00724979" w:rsidRPr="00632980" w:rsidRDefault="00B13591" w:rsidP="00B13591">
            <w:pPr>
              <w:jc w:val="both"/>
              <w:rPr>
                <w:noProof/>
                <w:shd w:val="clear" w:color="auto" w:fill="FFFFFF"/>
              </w:rPr>
            </w:pPr>
            <w:r w:rsidRPr="00632980">
              <w:rPr>
                <w:noProof/>
                <w:shd w:val="clear" w:color="auto" w:fill="FFFFFF"/>
              </w:rPr>
              <w:t>Kopš 2018.gada 1.janvāra azartspēļu nodokļa likmes nav mainījušās.</w:t>
            </w:r>
          </w:p>
          <w:p w14:paraId="580B2542" w14:textId="0604F153" w:rsidR="00B13591" w:rsidRPr="00632980" w:rsidRDefault="00B13591" w:rsidP="00B13591">
            <w:pPr>
              <w:jc w:val="both"/>
              <w:rPr>
                <w:noProof/>
                <w:shd w:val="clear" w:color="auto" w:fill="FFFFFF"/>
              </w:rPr>
            </w:pPr>
            <w:r w:rsidRPr="00632980">
              <w:rPr>
                <w:noProof/>
                <w:shd w:val="clear" w:color="auto" w:fill="FFFFFF"/>
              </w:rPr>
              <w:t>Azartspēļu nozare ir saistīta ar īpaši augstu sociālo risku, tādēļ valstij ir nepieciešams veikt regulējošo funkciju, kas daļēji tiek īstenota ar izložu un azartspēļu nodevas un nodokļ</w:t>
            </w:r>
            <w:r w:rsidR="00630F18" w:rsidRPr="00632980">
              <w:rPr>
                <w:noProof/>
                <w:shd w:val="clear" w:color="auto" w:fill="FFFFFF"/>
              </w:rPr>
              <w:t>a</w:t>
            </w:r>
            <w:r w:rsidRPr="00632980">
              <w:rPr>
                <w:noProof/>
                <w:shd w:val="clear" w:color="auto" w:fill="FFFFFF"/>
              </w:rPr>
              <w:t xml:space="preserve"> palīdzību. Vienlaikus azartspēļu nodevām un nodokļiem ir fiskālā funkcija, kuras uzdevums ir vismaz daļēji nodrošināt ieņēmumus azartspēļu iespējamo negatīvo seku mazināšanai. </w:t>
            </w:r>
          </w:p>
          <w:p w14:paraId="5F4A2C8B" w14:textId="77777777" w:rsidR="009830A2" w:rsidRPr="00632980" w:rsidRDefault="009830A2" w:rsidP="009830A2">
            <w:pPr>
              <w:jc w:val="both"/>
              <w:rPr>
                <w:noProof/>
              </w:rPr>
            </w:pPr>
          </w:p>
          <w:p w14:paraId="29302F94" w14:textId="65D1B8EA" w:rsidR="009830A2" w:rsidRPr="00632980" w:rsidRDefault="009830A2" w:rsidP="009830A2">
            <w:pPr>
              <w:jc w:val="both"/>
              <w:rPr>
                <w:noProof/>
                <w:shd w:val="clear" w:color="auto" w:fill="FFFFFF"/>
              </w:rPr>
            </w:pPr>
            <w:r w:rsidRPr="00632980">
              <w:rPr>
                <w:b/>
                <w:noProof/>
              </w:rPr>
              <w:t>Azartspēļu nozares rādītāji</w:t>
            </w:r>
            <w:r w:rsidR="00E36A26" w:rsidRPr="00632980">
              <w:rPr>
                <w:noProof/>
              </w:rPr>
              <w:t xml:space="preserve"> *</w:t>
            </w:r>
          </w:p>
          <w:tbl>
            <w:tblPr>
              <w:tblStyle w:val="TableGrid61"/>
              <w:tblW w:w="7230" w:type="dxa"/>
              <w:tblLook w:val="04A0" w:firstRow="1" w:lastRow="0" w:firstColumn="1" w:lastColumn="0" w:noHBand="0" w:noVBand="1"/>
            </w:tblPr>
            <w:tblGrid>
              <w:gridCol w:w="2127"/>
              <w:gridCol w:w="1275"/>
              <w:gridCol w:w="1276"/>
              <w:gridCol w:w="1276"/>
              <w:gridCol w:w="1276"/>
            </w:tblGrid>
            <w:tr w:rsidR="00A22B1F" w:rsidRPr="00632980" w14:paraId="02A6A436" w14:textId="77777777" w:rsidTr="00AD47B1">
              <w:trPr>
                <w:trHeight w:val="585"/>
              </w:trPr>
              <w:tc>
                <w:tcPr>
                  <w:tcW w:w="2127" w:type="dxa"/>
                  <w:tcBorders>
                    <w:top w:val="double" w:sz="4" w:space="0" w:color="auto"/>
                    <w:left w:val="nil"/>
                    <w:bottom w:val="double" w:sz="4" w:space="0" w:color="auto"/>
                    <w:right w:val="dotted" w:sz="4" w:space="0" w:color="auto"/>
                  </w:tcBorders>
                  <w:vAlign w:val="center"/>
                  <w:hideMark/>
                </w:tcPr>
                <w:p w14:paraId="21B65D23" w14:textId="77777777" w:rsidR="009830A2" w:rsidRPr="00632980" w:rsidRDefault="009830A2" w:rsidP="009830A2">
                  <w:pPr>
                    <w:rPr>
                      <w:rFonts w:ascii="Times New Roman" w:hAnsi="Times New Roman" w:cs="Times New Roman"/>
                      <w:noProof/>
                    </w:rPr>
                  </w:pPr>
                  <w:r w:rsidRPr="00632980">
                    <w:rPr>
                      <w:rFonts w:ascii="Times New Roman" w:hAnsi="Times New Roman" w:cs="Times New Roman"/>
                      <w:noProof/>
                    </w:rPr>
                    <w:t>Azartspēļu nozares rādītāji</w:t>
                  </w:r>
                </w:p>
              </w:tc>
              <w:tc>
                <w:tcPr>
                  <w:tcW w:w="1275" w:type="dxa"/>
                  <w:tcBorders>
                    <w:top w:val="double" w:sz="4" w:space="0" w:color="auto"/>
                    <w:left w:val="dotted" w:sz="4" w:space="0" w:color="auto"/>
                    <w:bottom w:val="double" w:sz="4" w:space="0" w:color="auto"/>
                    <w:right w:val="dotted" w:sz="4" w:space="0" w:color="auto"/>
                  </w:tcBorders>
                  <w:hideMark/>
                </w:tcPr>
                <w:p w14:paraId="6C1FD9E9" w14:textId="77777777" w:rsidR="009830A2" w:rsidRPr="00632980" w:rsidRDefault="009830A2" w:rsidP="009830A2">
                  <w:pPr>
                    <w:jc w:val="center"/>
                    <w:rPr>
                      <w:rFonts w:ascii="Times New Roman" w:hAnsi="Times New Roman" w:cs="Times New Roman"/>
                      <w:noProof/>
                    </w:rPr>
                  </w:pPr>
                </w:p>
                <w:p w14:paraId="1CF7A374"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 xml:space="preserve">2017.gada </w:t>
                  </w:r>
                </w:p>
                <w:p w14:paraId="63464A84"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1.pusgads</w:t>
                  </w:r>
                </w:p>
              </w:tc>
              <w:tc>
                <w:tcPr>
                  <w:tcW w:w="1276" w:type="dxa"/>
                  <w:tcBorders>
                    <w:top w:val="double" w:sz="4" w:space="0" w:color="auto"/>
                    <w:left w:val="dotted" w:sz="4" w:space="0" w:color="auto"/>
                    <w:bottom w:val="double" w:sz="4" w:space="0" w:color="auto"/>
                    <w:right w:val="dotted" w:sz="4" w:space="0" w:color="auto"/>
                  </w:tcBorders>
                  <w:hideMark/>
                </w:tcPr>
                <w:p w14:paraId="1AA59EB2" w14:textId="77777777" w:rsidR="009830A2" w:rsidRPr="00632980" w:rsidRDefault="009830A2" w:rsidP="009830A2">
                  <w:pPr>
                    <w:jc w:val="center"/>
                    <w:rPr>
                      <w:rFonts w:ascii="Times New Roman" w:hAnsi="Times New Roman" w:cs="Times New Roman"/>
                      <w:noProof/>
                    </w:rPr>
                  </w:pPr>
                </w:p>
                <w:p w14:paraId="5EC5C5FD"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2018.gada</w:t>
                  </w:r>
                </w:p>
                <w:p w14:paraId="64496502"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1.pusgads</w:t>
                  </w:r>
                </w:p>
              </w:tc>
              <w:tc>
                <w:tcPr>
                  <w:tcW w:w="1276" w:type="dxa"/>
                  <w:tcBorders>
                    <w:top w:val="double" w:sz="4" w:space="0" w:color="auto"/>
                    <w:left w:val="dotted" w:sz="4" w:space="0" w:color="auto"/>
                    <w:bottom w:val="double" w:sz="4" w:space="0" w:color="auto"/>
                    <w:right w:val="nil"/>
                  </w:tcBorders>
                  <w:hideMark/>
                </w:tcPr>
                <w:p w14:paraId="6EB4DF5B" w14:textId="77777777" w:rsidR="009830A2" w:rsidRPr="00632980" w:rsidRDefault="009830A2" w:rsidP="009830A2">
                  <w:pPr>
                    <w:jc w:val="center"/>
                    <w:rPr>
                      <w:rFonts w:ascii="Times New Roman" w:hAnsi="Times New Roman" w:cs="Times New Roman"/>
                      <w:noProof/>
                    </w:rPr>
                  </w:pPr>
                </w:p>
                <w:p w14:paraId="2BE999E6"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2019.gada</w:t>
                  </w:r>
                </w:p>
                <w:p w14:paraId="3BC1DF80"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1.pusgads</w:t>
                  </w:r>
                </w:p>
              </w:tc>
              <w:tc>
                <w:tcPr>
                  <w:tcW w:w="1276" w:type="dxa"/>
                  <w:tcBorders>
                    <w:top w:val="double" w:sz="4" w:space="0" w:color="auto"/>
                    <w:left w:val="dotted" w:sz="4" w:space="0" w:color="auto"/>
                    <w:bottom w:val="double" w:sz="4" w:space="0" w:color="auto"/>
                    <w:right w:val="nil"/>
                  </w:tcBorders>
                </w:tcPr>
                <w:p w14:paraId="17A80E44" w14:textId="468726C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201</w:t>
                  </w:r>
                  <w:r w:rsidR="00E16126">
                    <w:rPr>
                      <w:rFonts w:ascii="Times New Roman" w:hAnsi="Times New Roman" w:cs="Times New Roman"/>
                      <w:noProof/>
                    </w:rPr>
                    <w:t>9</w:t>
                  </w:r>
                  <w:r w:rsidRPr="00632980">
                    <w:rPr>
                      <w:rFonts w:ascii="Times New Roman" w:hAnsi="Times New Roman" w:cs="Times New Roman"/>
                      <w:noProof/>
                    </w:rPr>
                    <w:t>.gada 1.pusgads/</w:t>
                  </w:r>
                </w:p>
                <w:p w14:paraId="2537F53C" w14:textId="49E787EB"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201</w:t>
                  </w:r>
                  <w:r w:rsidR="00E16126">
                    <w:rPr>
                      <w:rFonts w:ascii="Times New Roman" w:hAnsi="Times New Roman" w:cs="Times New Roman"/>
                      <w:noProof/>
                    </w:rPr>
                    <w:t>7</w:t>
                  </w:r>
                  <w:r w:rsidRPr="00632980">
                    <w:rPr>
                      <w:rFonts w:ascii="Times New Roman" w:hAnsi="Times New Roman" w:cs="Times New Roman"/>
                      <w:noProof/>
                    </w:rPr>
                    <w:t>.gada 1.pusgads</w:t>
                  </w:r>
                </w:p>
                <w:p w14:paraId="6EC7D0EA"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w:t>
                  </w:r>
                </w:p>
              </w:tc>
            </w:tr>
            <w:tr w:rsidR="00A22B1F" w:rsidRPr="00632980" w14:paraId="124DFDBA" w14:textId="77777777" w:rsidTr="00AD47B1">
              <w:trPr>
                <w:trHeight w:val="540"/>
              </w:trPr>
              <w:tc>
                <w:tcPr>
                  <w:tcW w:w="2127" w:type="dxa"/>
                  <w:tcBorders>
                    <w:top w:val="single" w:sz="4" w:space="0" w:color="auto"/>
                    <w:left w:val="nil"/>
                    <w:bottom w:val="single" w:sz="4" w:space="0" w:color="auto"/>
                    <w:right w:val="dotted" w:sz="4" w:space="0" w:color="auto"/>
                  </w:tcBorders>
                </w:tcPr>
                <w:p w14:paraId="4DF66131" w14:textId="77777777" w:rsidR="009830A2" w:rsidRPr="00632980" w:rsidRDefault="009830A2" w:rsidP="009830A2">
                  <w:pPr>
                    <w:jc w:val="both"/>
                    <w:rPr>
                      <w:rFonts w:ascii="Times New Roman" w:hAnsi="Times New Roman" w:cs="Times New Roman"/>
                      <w:noProof/>
                    </w:rPr>
                  </w:pPr>
                  <w:r w:rsidRPr="00632980">
                    <w:rPr>
                      <w:rFonts w:ascii="Times New Roman" w:hAnsi="Times New Roman" w:cs="Times New Roman"/>
                      <w:noProof/>
                    </w:rPr>
                    <w:t>Kopējie ieņēmumi no azartspēlēm (milj.</w:t>
                  </w:r>
                  <w:r w:rsidRPr="00632980">
                    <w:rPr>
                      <w:rFonts w:ascii="Times New Roman" w:hAnsi="Times New Roman" w:cs="Times New Roman"/>
                      <w:i/>
                      <w:noProof/>
                    </w:rPr>
                    <w:t xml:space="preserve"> euro</w:t>
                  </w:r>
                  <w:r w:rsidRPr="00632980">
                    <w:rPr>
                      <w:rFonts w:ascii="Times New Roman" w:hAnsi="Times New Roman" w:cs="Times New Roman"/>
                      <w:noProof/>
                    </w:rPr>
                    <w:t>)</w:t>
                  </w:r>
                </w:p>
              </w:tc>
              <w:tc>
                <w:tcPr>
                  <w:tcW w:w="1275" w:type="dxa"/>
                  <w:tcBorders>
                    <w:top w:val="single" w:sz="4" w:space="0" w:color="auto"/>
                    <w:left w:val="dotted" w:sz="4" w:space="0" w:color="auto"/>
                    <w:bottom w:val="single" w:sz="4" w:space="0" w:color="auto"/>
                    <w:right w:val="dotted" w:sz="4" w:space="0" w:color="auto"/>
                  </w:tcBorders>
                  <w:vAlign w:val="center"/>
                </w:tcPr>
                <w:p w14:paraId="7FFB69C5"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113,334</w:t>
                  </w:r>
                </w:p>
              </w:tc>
              <w:tc>
                <w:tcPr>
                  <w:tcW w:w="1276" w:type="dxa"/>
                  <w:tcBorders>
                    <w:top w:val="single" w:sz="4" w:space="0" w:color="auto"/>
                    <w:left w:val="dotted" w:sz="4" w:space="0" w:color="auto"/>
                    <w:bottom w:val="single" w:sz="4" w:space="0" w:color="auto"/>
                    <w:right w:val="dotted" w:sz="4" w:space="0" w:color="auto"/>
                  </w:tcBorders>
                  <w:vAlign w:val="center"/>
                </w:tcPr>
                <w:p w14:paraId="6B159AA8"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127,228</w:t>
                  </w:r>
                </w:p>
              </w:tc>
              <w:tc>
                <w:tcPr>
                  <w:tcW w:w="1276" w:type="dxa"/>
                  <w:tcBorders>
                    <w:top w:val="single" w:sz="4" w:space="0" w:color="auto"/>
                    <w:left w:val="dotted" w:sz="4" w:space="0" w:color="auto"/>
                    <w:bottom w:val="single" w:sz="4" w:space="0" w:color="auto"/>
                    <w:right w:val="nil"/>
                  </w:tcBorders>
                  <w:vAlign w:val="center"/>
                </w:tcPr>
                <w:p w14:paraId="36DB150B"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146,615</w:t>
                  </w:r>
                </w:p>
              </w:tc>
              <w:tc>
                <w:tcPr>
                  <w:tcW w:w="1276" w:type="dxa"/>
                  <w:tcBorders>
                    <w:top w:val="single" w:sz="4" w:space="0" w:color="auto"/>
                    <w:left w:val="dotted" w:sz="4" w:space="0" w:color="auto"/>
                    <w:bottom w:val="single" w:sz="4" w:space="0" w:color="auto"/>
                    <w:right w:val="nil"/>
                  </w:tcBorders>
                  <w:vAlign w:val="center"/>
                </w:tcPr>
                <w:p w14:paraId="0DC32423" w14:textId="77777777" w:rsidR="009830A2" w:rsidRPr="00632980" w:rsidRDefault="009830A2" w:rsidP="009830A2">
                  <w:pPr>
                    <w:rPr>
                      <w:rFonts w:ascii="Times New Roman" w:hAnsi="Times New Roman" w:cs="Times New Roman"/>
                      <w:noProof/>
                    </w:rPr>
                  </w:pPr>
                  <w:r w:rsidRPr="00632980">
                    <w:rPr>
                      <w:rFonts w:ascii="Times New Roman" w:hAnsi="Times New Roman" w:cs="Times New Roman"/>
                      <w:noProof/>
                    </w:rPr>
                    <w:t xml:space="preserve">  129,4</w:t>
                  </w:r>
                </w:p>
              </w:tc>
            </w:tr>
            <w:tr w:rsidR="00A22B1F" w:rsidRPr="00632980" w14:paraId="49C5A194" w14:textId="77777777" w:rsidTr="00AD47B1">
              <w:trPr>
                <w:trHeight w:val="540"/>
              </w:trPr>
              <w:tc>
                <w:tcPr>
                  <w:tcW w:w="2127" w:type="dxa"/>
                  <w:tcBorders>
                    <w:top w:val="single" w:sz="4" w:space="0" w:color="auto"/>
                    <w:left w:val="nil"/>
                    <w:bottom w:val="single" w:sz="4" w:space="0" w:color="auto"/>
                    <w:right w:val="dotted" w:sz="4" w:space="0" w:color="auto"/>
                  </w:tcBorders>
                  <w:hideMark/>
                </w:tcPr>
                <w:p w14:paraId="550B8616" w14:textId="77777777" w:rsidR="009830A2" w:rsidRPr="00632980" w:rsidRDefault="009830A2" w:rsidP="009830A2">
                  <w:pPr>
                    <w:jc w:val="both"/>
                    <w:rPr>
                      <w:rFonts w:ascii="Times New Roman" w:hAnsi="Times New Roman" w:cs="Times New Roman"/>
                      <w:noProof/>
                    </w:rPr>
                  </w:pPr>
                  <w:r w:rsidRPr="00632980">
                    <w:rPr>
                      <w:rFonts w:ascii="Times New Roman" w:hAnsi="Times New Roman" w:cs="Times New Roman"/>
                      <w:noProof/>
                    </w:rPr>
                    <w:t>Ieņēmumi no azartspēļu automātiem (milj.</w:t>
                  </w:r>
                  <w:r w:rsidRPr="00632980">
                    <w:rPr>
                      <w:rFonts w:ascii="Times New Roman" w:hAnsi="Times New Roman" w:cs="Times New Roman"/>
                      <w:i/>
                      <w:noProof/>
                    </w:rPr>
                    <w:t xml:space="preserve"> euro</w:t>
                  </w:r>
                  <w:r w:rsidRPr="00632980">
                    <w:rPr>
                      <w:rFonts w:ascii="Times New Roman" w:hAnsi="Times New Roman" w:cs="Times New Roman"/>
                      <w:noProof/>
                    </w:rPr>
                    <w:t>)</w:t>
                  </w:r>
                </w:p>
              </w:tc>
              <w:tc>
                <w:tcPr>
                  <w:tcW w:w="1275" w:type="dxa"/>
                  <w:tcBorders>
                    <w:top w:val="single" w:sz="4" w:space="0" w:color="auto"/>
                    <w:left w:val="dotted" w:sz="4" w:space="0" w:color="auto"/>
                    <w:bottom w:val="single" w:sz="4" w:space="0" w:color="auto"/>
                    <w:right w:val="dotted" w:sz="4" w:space="0" w:color="auto"/>
                  </w:tcBorders>
                  <w:vAlign w:val="center"/>
                </w:tcPr>
                <w:p w14:paraId="3623D8B4"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91,991</w:t>
                  </w:r>
                </w:p>
              </w:tc>
              <w:tc>
                <w:tcPr>
                  <w:tcW w:w="1276" w:type="dxa"/>
                  <w:tcBorders>
                    <w:top w:val="single" w:sz="4" w:space="0" w:color="auto"/>
                    <w:left w:val="dotted" w:sz="4" w:space="0" w:color="auto"/>
                    <w:bottom w:val="single" w:sz="4" w:space="0" w:color="auto"/>
                    <w:right w:val="dotted" w:sz="4" w:space="0" w:color="auto"/>
                  </w:tcBorders>
                  <w:vAlign w:val="center"/>
                </w:tcPr>
                <w:p w14:paraId="183D3BA6"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99,917</w:t>
                  </w:r>
                </w:p>
              </w:tc>
              <w:tc>
                <w:tcPr>
                  <w:tcW w:w="1276" w:type="dxa"/>
                  <w:tcBorders>
                    <w:top w:val="single" w:sz="4" w:space="0" w:color="auto"/>
                    <w:left w:val="dotted" w:sz="4" w:space="0" w:color="auto"/>
                    <w:bottom w:val="single" w:sz="4" w:space="0" w:color="auto"/>
                    <w:right w:val="nil"/>
                  </w:tcBorders>
                  <w:vAlign w:val="center"/>
                </w:tcPr>
                <w:p w14:paraId="00260302" w14:textId="77777777" w:rsidR="009830A2" w:rsidRPr="00632980" w:rsidRDefault="009830A2" w:rsidP="009830A2">
                  <w:pPr>
                    <w:jc w:val="center"/>
                    <w:rPr>
                      <w:rFonts w:ascii="Times New Roman" w:hAnsi="Times New Roman" w:cs="Times New Roman"/>
                      <w:noProof/>
                    </w:rPr>
                  </w:pPr>
                  <w:r w:rsidRPr="00632980">
                    <w:rPr>
                      <w:rFonts w:ascii="Times New Roman" w:hAnsi="Times New Roman" w:cs="Times New Roman"/>
                      <w:noProof/>
                    </w:rPr>
                    <w:t>111,462</w:t>
                  </w:r>
                </w:p>
              </w:tc>
              <w:tc>
                <w:tcPr>
                  <w:tcW w:w="1276" w:type="dxa"/>
                  <w:tcBorders>
                    <w:top w:val="single" w:sz="4" w:space="0" w:color="auto"/>
                    <w:left w:val="dotted" w:sz="4" w:space="0" w:color="auto"/>
                    <w:bottom w:val="single" w:sz="4" w:space="0" w:color="auto"/>
                    <w:right w:val="nil"/>
                  </w:tcBorders>
                  <w:vAlign w:val="center"/>
                </w:tcPr>
                <w:p w14:paraId="4D4E23F1" w14:textId="77777777" w:rsidR="009830A2" w:rsidRPr="00632980" w:rsidRDefault="009830A2" w:rsidP="009830A2">
                  <w:pPr>
                    <w:rPr>
                      <w:rFonts w:ascii="Times New Roman" w:hAnsi="Times New Roman" w:cs="Times New Roman"/>
                      <w:noProof/>
                    </w:rPr>
                  </w:pPr>
                  <w:r w:rsidRPr="00632980">
                    <w:rPr>
                      <w:rFonts w:ascii="Times New Roman" w:hAnsi="Times New Roman" w:cs="Times New Roman"/>
                      <w:noProof/>
                    </w:rPr>
                    <w:t xml:space="preserve">   121,2</w:t>
                  </w:r>
                </w:p>
              </w:tc>
            </w:tr>
            <w:tr w:rsidR="00A22B1F" w:rsidRPr="00632980" w14:paraId="545CCF67" w14:textId="77777777" w:rsidTr="00AD47B1">
              <w:trPr>
                <w:trHeight w:val="540"/>
              </w:trPr>
              <w:tc>
                <w:tcPr>
                  <w:tcW w:w="2127" w:type="dxa"/>
                  <w:tcBorders>
                    <w:top w:val="single" w:sz="4" w:space="0" w:color="auto"/>
                    <w:left w:val="nil"/>
                    <w:bottom w:val="single" w:sz="4" w:space="0" w:color="auto"/>
                    <w:right w:val="dotted" w:sz="4" w:space="0" w:color="auto"/>
                  </w:tcBorders>
                </w:tcPr>
                <w:p w14:paraId="575B6DBD" w14:textId="683B0558" w:rsidR="00FA27F4" w:rsidRPr="00632980" w:rsidRDefault="00FA27F4" w:rsidP="00FA27F4">
                  <w:pPr>
                    <w:jc w:val="both"/>
                    <w:rPr>
                      <w:rFonts w:ascii="Times New Roman" w:hAnsi="Times New Roman" w:cs="Times New Roman"/>
                      <w:noProof/>
                    </w:rPr>
                  </w:pPr>
                  <w:r w:rsidRPr="00632980">
                    <w:rPr>
                      <w:rFonts w:ascii="Times New Roman" w:hAnsi="Times New Roman" w:cs="Times New Roman"/>
                      <w:noProof/>
                    </w:rPr>
                    <w:t xml:space="preserve">Ieņēmumi </w:t>
                  </w:r>
                  <w:r w:rsidR="00E16126">
                    <w:rPr>
                      <w:rFonts w:ascii="Times New Roman" w:hAnsi="Times New Roman" w:cs="Times New Roman"/>
                      <w:noProof/>
                    </w:rPr>
                    <w:t xml:space="preserve">vidēji </w:t>
                  </w:r>
                  <w:r w:rsidRPr="00632980">
                    <w:rPr>
                      <w:rFonts w:ascii="Times New Roman" w:hAnsi="Times New Roman" w:cs="Times New Roman"/>
                      <w:noProof/>
                    </w:rPr>
                    <w:t xml:space="preserve">uz vienu azartspēļu automātu (tūkst. </w:t>
                  </w:r>
                  <w:r w:rsidRPr="00632980">
                    <w:rPr>
                      <w:rFonts w:ascii="Times New Roman" w:hAnsi="Times New Roman" w:cs="Times New Roman"/>
                      <w:i/>
                      <w:noProof/>
                    </w:rPr>
                    <w:t>euro</w:t>
                  </w:r>
                  <w:r w:rsidRPr="00632980">
                    <w:rPr>
                      <w:rFonts w:ascii="Times New Roman" w:hAnsi="Times New Roman" w:cs="Times New Roman"/>
                      <w:noProof/>
                    </w:rPr>
                    <w:t>)</w:t>
                  </w:r>
                </w:p>
              </w:tc>
              <w:tc>
                <w:tcPr>
                  <w:tcW w:w="1275" w:type="dxa"/>
                  <w:tcBorders>
                    <w:top w:val="single" w:sz="4" w:space="0" w:color="auto"/>
                    <w:left w:val="dotted" w:sz="4" w:space="0" w:color="auto"/>
                    <w:bottom w:val="single" w:sz="4" w:space="0" w:color="auto"/>
                    <w:right w:val="dotted" w:sz="4" w:space="0" w:color="auto"/>
                  </w:tcBorders>
                  <w:vAlign w:val="center"/>
                </w:tcPr>
                <w:p w14:paraId="698DC14D" w14:textId="1C8BE7A6" w:rsidR="00FA27F4" w:rsidRPr="00632980" w:rsidRDefault="00FA27F4" w:rsidP="009830A2">
                  <w:pPr>
                    <w:jc w:val="center"/>
                    <w:rPr>
                      <w:rFonts w:ascii="Times New Roman" w:hAnsi="Times New Roman" w:cs="Times New Roman"/>
                      <w:noProof/>
                    </w:rPr>
                  </w:pPr>
                  <w:r w:rsidRPr="00632980">
                    <w:rPr>
                      <w:rFonts w:ascii="Times New Roman" w:hAnsi="Times New Roman" w:cs="Times New Roman"/>
                      <w:noProof/>
                    </w:rPr>
                    <w:t>10,289</w:t>
                  </w:r>
                </w:p>
              </w:tc>
              <w:tc>
                <w:tcPr>
                  <w:tcW w:w="1276" w:type="dxa"/>
                  <w:tcBorders>
                    <w:top w:val="single" w:sz="4" w:space="0" w:color="auto"/>
                    <w:left w:val="dotted" w:sz="4" w:space="0" w:color="auto"/>
                    <w:bottom w:val="single" w:sz="4" w:space="0" w:color="auto"/>
                    <w:right w:val="dotted" w:sz="4" w:space="0" w:color="auto"/>
                  </w:tcBorders>
                  <w:vAlign w:val="center"/>
                </w:tcPr>
                <w:p w14:paraId="7E3D9869" w14:textId="5788207F" w:rsidR="00FA27F4" w:rsidRPr="00632980" w:rsidRDefault="00FA27F4" w:rsidP="009830A2">
                  <w:pPr>
                    <w:jc w:val="center"/>
                    <w:rPr>
                      <w:rFonts w:ascii="Times New Roman" w:hAnsi="Times New Roman" w:cs="Times New Roman"/>
                      <w:noProof/>
                    </w:rPr>
                  </w:pPr>
                  <w:r w:rsidRPr="00632980">
                    <w:rPr>
                      <w:rFonts w:ascii="Times New Roman" w:hAnsi="Times New Roman" w:cs="Times New Roman"/>
                      <w:noProof/>
                    </w:rPr>
                    <w:t>11,579</w:t>
                  </w:r>
                </w:p>
              </w:tc>
              <w:tc>
                <w:tcPr>
                  <w:tcW w:w="1276" w:type="dxa"/>
                  <w:tcBorders>
                    <w:top w:val="single" w:sz="4" w:space="0" w:color="auto"/>
                    <w:left w:val="dotted" w:sz="4" w:space="0" w:color="auto"/>
                    <w:bottom w:val="single" w:sz="4" w:space="0" w:color="auto"/>
                    <w:right w:val="nil"/>
                  </w:tcBorders>
                  <w:vAlign w:val="center"/>
                </w:tcPr>
                <w:p w14:paraId="1C0CF480" w14:textId="452FB43C" w:rsidR="00FA27F4" w:rsidRPr="00632980" w:rsidRDefault="00085D40" w:rsidP="009830A2">
                  <w:pPr>
                    <w:jc w:val="center"/>
                    <w:rPr>
                      <w:rFonts w:ascii="Times New Roman" w:hAnsi="Times New Roman" w:cs="Times New Roman"/>
                      <w:noProof/>
                    </w:rPr>
                  </w:pPr>
                  <w:r w:rsidRPr="00632980">
                    <w:rPr>
                      <w:rFonts w:ascii="Times New Roman" w:hAnsi="Times New Roman" w:cs="Times New Roman"/>
                      <w:noProof/>
                    </w:rPr>
                    <w:t>12,896</w:t>
                  </w:r>
                </w:p>
              </w:tc>
              <w:tc>
                <w:tcPr>
                  <w:tcW w:w="1276" w:type="dxa"/>
                  <w:tcBorders>
                    <w:top w:val="single" w:sz="4" w:space="0" w:color="auto"/>
                    <w:left w:val="dotted" w:sz="4" w:space="0" w:color="auto"/>
                    <w:bottom w:val="single" w:sz="4" w:space="0" w:color="auto"/>
                    <w:right w:val="nil"/>
                  </w:tcBorders>
                  <w:vAlign w:val="center"/>
                </w:tcPr>
                <w:p w14:paraId="380C8BD2" w14:textId="2CF0E890" w:rsidR="00FA27F4" w:rsidRPr="00632980" w:rsidRDefault="00085D40" w:rsidP="009830A2">
                  <w:pPr>
                    <w:rPr>
                      <w:rFonts w:ascii="Times New Roman" w:hAnsi="Times New Roman" w:cs="Times New Roman"/>
                      <w:noProof/>
                    </w:rPr>
                  </w:pPr>
                  <w:r w:rsidRPr="00632980">
                    <w:rPr>
                      <w:rFonts w:ascii="Times New Roman" w:hAnsi="Times New Roman" w:cs="Times New Roman"/>
                      <w:noProof/>
                    </w:rPr>
                    <w:t xml:space="preserve">   125,3</w:t>
                  </w:r>
                </w:p>
              </w:tc>
            </w:tr>
            <w:tr w:rsidR="00A22B1F" w:rsidRPr="00632980" w14:paraId="38D93783" w14:textId="77777777" w:rsidTr="00AD47B1">
              <w:trPr>
                <w:trHeight w:val="285"/>
              </w:trPr>
              <w:tc>
                <w:tcPr>
                  <w:tcW w:w="2127" w:type="dxa"/>
                  <w:tcBorders>
                    <w:top w:val="double" w:sz="4" w:space="0" w:color="auto"/>
                    <w:left w:val="nil"/>
                    <w:bottom w:val="double" w:sz="4" w:space="0" w:color="auto"/>
                    <w:right w:val="dotted" w:sz="4" w:space="0" w:color="auto"/>
                  </w:tcBorders>
                </w:tcPr>
                <w:p w14:paraId="71E03E7F" w14:textId="0E3FE52A" w:rsidR="00E25D2F" w:rsidRPr="00632980" w:rsidRDefault="00E25D2F" w:rsidP="00E25D2F">
                  <w:pPr>
                    <w:ind w:hanging="6"/>
                    <w:contextualSpacing/>
                    <w:jc w:val="both"/>
                    <w:rPr>
                      <w:rFonts w:ascii="Times New Roman" w:hAnsi="Times New Roman" w:cs="Times New Roman"/>
                      <w:noProof/>
                    </w:rPr>
                  </w:pPr>
                  <w:r w:rsidRPr="00632980">
                    <w:rPr>
                      <w:rFonts w:ascii="Times New Roman" w:hAnsi="Times New Roman" w:cs="Times New Roman"/>
                      <w:noProof/>
                    </w:rPr>
                    <w:t>Ieņēmumi no spēļu galdiem (rulete, kārtis) (milj.</w:t>
                  </w:r>
                  <w:r w:rsidRPr="00632980">
                    <w:rPr>
                      <w:rFonts w:ascii="Times New Roman" w:hAnsi="Times New Roman" w:cs="Times New Roman"/>
                      <w:i/>
                      <w:noProof/>
                    </w:rPr>
                    <w:t xml:space="preserve"> euro</w:t>
                  </w:r>
                  <w:r w:rsidRPr="00632980">
                    <w:rPr>
                      <w:rFonts w:ascii="Times New Roman" w:hAnsi="Times New Roman" w:cs="Times New Roman"/>
                      <w:noProof/>
                    </w:rPr>
                    <w:t>)</w:t>
                  </w:r>
                </w:p>
              </w:tc>
              <w:tc>
                <w:tcPr>
                  <w:tcW w:w="1275" w:type="dxa"/>
                  <w:tcBorders>
                    <w:top w:val="double" w:sz="4" w:space="0" w:color="auto"/>
                    <w:left w:val="dotted" w:sz="4" w:space="0" w:color="auto"/>
                    <w:bottom w:val="double" w:sz="4" w:space="0" w:color="auto"/>
                    <w:right w:val="dotted" w:sz="4" w:space="0" w:color="auto"/>
                  </w:tcBorders>
                  <w:vAlign w:val="center"/>
                </w:tcPr>
                <w:p w14:paraId="42CA7FBA" w14:textId="31F18D86" w:rsidR="00E25D2F" w:rsidRPr="00632980" w:rsidRDefault="00E25D2F" w:rsidP="00E25D2F">
                  <w:pPr>
                    <w:jc w:val="center"/>
                    <w:rPr>
                      <w:rFonts w:ascii="Times New Roman" w:hAnsi="Times New Roman" w:cs="Times New Roman"/>
                      <w:noProof/>
                    </w:rPr>
                  </w:pPr>
                  <w:r w:rsidRPr="00632980">
                    <w:rPr>
                      <w:rFonts w:ascii="Times New Roman" w:hAnsi="Times New Roman" w:cs="Times New Roman"/>
                      <w:noProof/>
                    </w:rPr>
                    <w:t>8,194</w:t>
                  </w:r>
                </w:p>
              </w:tc>
              <w:tc>
                <w:tcPr>
                  <w:tcW w:w="1276" w:type="dxa"/>
                  <w:tcBorders>
                    <w:top w:val="double" w:sz="4" w:space="0" w:color="auto"/>
                    <w:left w:val="dotted" w:sz="4" w:space="0" w:color="auto"/>
                    <w:bottom w:val="double" w:sz="4" w:space="0" w:color="auto"/>
                    <w:right w:val="dotted" w:sz="4" w:space="0" w:color="auto"/>
                  </w:tcBorders>
                  <w:vAlign w:val="center"/>
                </w:tcPr>
                <w:p w14:paraId="6D92EA7E" w14:textId="081ED39B" w:rsidR="00E25D2F" w:rsidRPr="00632980" w:rsidRDefault="00E25D2F" w:rsidP="00E25D2F">
                  <w:pPr>
                    <w:jc w:val="center"/>
                    <w:rPr>
                      <w:rFonts w:ascii="Times New Roman" w:hAnsi="Times New Roman" w:cs="Times New Roman"/>
                      <w:noProof/>
                    </w:rPr>
                  </w:pPr>
                  <w:r w:rsidRPr="00632980">
                    <w:rPr>
                      <w:rFonts w:ascii="Times New Roman" w:hAnsi="Times New Roman" w:cs="Times New Roman"/>
                      <w:noProof/>
                    </w:rPr>
                    <w:t>7,855</w:t>
                  </w:r>
                </w:p>
              </w:tc>
              <w:tc>
                <w:tcPr>
                  <w:tcW w:w="1276" w:type="dxa"/>
                  <w:tcBorders>
                    <w:top w:val="double" w:sz="4" w:space="0" w:color="auto"/>
                    <w:left w:val="dotted" w:sz="4" w:space="0" w:color="auto"/>
                    <w:bottom w:val="double" w:sz="4" w:space="0" w:color="auto"/>
                    <w:right w:val="nil"/>
                  </w:tcBorders>
                  <w:vAlign w:val="center"/>
                </w:tcPr>
                <w:p w14:paraId="383AE181" w14:textId="00735C2A" w:rsidR="00E25D2F" w:rsidRPr="00632980" w:rsidRDefault="00E25D2F" w:rsidP="00E25D2F">
                  <w:pPr>
                    <w:jc w:val="center"/>
                    <w:rPr>
                      <w:rFonts w:ascii="Times New Roman" w:hAnsi="Times New Roman" w:cs="Times New Roman"/>
                      <w:noProof/>
                    </w:rPr>
                  </w:pPr>
                  <w:r w:rsidRPr="00632980">
                    <w:rPr>
                      <w:rFonts w:ascii="Times New Roman" w:hAnsi="Times New Roman" w:cs="Times New Roman"/>
                      <w:noProof/>
                    </w:rPr>
                    <w:t>8,062</w:t>
                  </w:r>
                </w:p>
              </w:tc>
              <w:tc>
                <w:tcPr>
                  <w:tcW w:w="1276" w:type="dxa"/>
                  <w:tcBorders>
                    <w:top w:val="double" w:sz="4" w:space="0" w:color="auto"/>
                    <w:left w:val="dotted" w:sz="4" w:space="0" w:color="auto"/>
                    <w:bottom w:val="double" w:sz="4" w:space="0" w:color="auto"/>
                    <w:right w:val="nil"/>
                  </w:tcBorders>
                  <w:vAlign w:val="center"/>
                </w:tcPr>
                <w:p w14:paraId="45E9E3E9" w14:textId="367856F5" w:rsidR="00E25D2F" w:rsidRPr="00632980" w:rsidRDefault="00E25D2F" w:rsidP="00E25D2F">
                  <w:pPr>
                    <w:rPr>
                      <w:rFonts w:ascii="Times New Roman" w:hAnsi="Times New Roman" w:cs="Times New Roman"/>
                      <w:noProof/>
                    </w:rPr>
                  </w:pPr>
                  <w:r w:rsidRPr="00632980">
                    <w:rPr>
                      <w:rFonts w:ascii="Times New Roman" w:hAnsi="Times New Roman" w:cs="Times New Roman"/>
                      <w:noProof/>
                    </w:rPr>
                    <w:t xml:space="preserve">     98,</w:t>
                  </w:r>
                  <w:r w:rsidR="00873451" w:rsidRPr="00632980">
                    <w:rPr>
                      <w:rFonts w:ascii="Times New Roman" w:hAnsi="Times New Roman" w:cs="Times New Roman"/>
                      <w:noProof/>
                    </w:rPr>
                    <w:t>4</w:t>
                  </w:r>
                </w:p>
              </w:tc>
            </w:tr>
            <w:tr w:rsidR="00A22B1F" w:rsidRPr="00632980" w14:paraId="1F52A6C4" w14:textId="77777777" w:rsidTr="00AD47B1">
              <w:trPr>
                <w:trHeight w:val="285"/>
              </w:trPr>
              <w:tc>
                <w:tcPr>
                  <w:tcW w:w="2127" w:type="dxa"/>
                  <w:tcBorders>
                    <w:top w:val="double" w:sz="4" w:space="0" w:color="auto"/>
                    <w:left w:val="nil"/>
                    <w:bottom w:val="double" w:sz="4" w:space="0" w:color="auto"/>
                    <w:right w:val="dotted" w:sz="4" w:space="0" w:color="auto"/>
                  </w:tcBorders>
                </w:tcPr>
                <w:p w14:paraId="2035EB9B" w14:textId="794D027C" w:rsidR="00341340" w:rsidRPr="00632980" w:rsidRDefault="00341340" w:rsidP="00341340">
                  <w:pPr>
                    <w:ind w:hanging="6"/>
                    <w:contextualSpacing/>
                    <w:jc w:val="both"/>
                    <w:rPr>
                      <w:rFonts w:ascii="Times New Roman" w:hAnsi="Times New Roman" w:cs="Times New Roman"/>
                      <w:noProof/>
                    </w:rPr>
                  </w:pPr>
                  <w:r w:rsidRPr="00632980">
                    <w:rPr>
                      <w:rFonts w:ascii="Times New Roman" w:hAnsi="Times New Roman" w:cs="Times New Roman"/>
                      <w:noProof/>
                    </w:rPr>
                    <w:t xml:space="preserve">Ieņēmumi </w:t>
                  </w:r>
                  <w:r w:rsidR="00E16126">
                    <w:rPr>
                      <w:rFonts w:ascii="Times New Roman" w:hAnsi="Times New Roman" w:cs="Times New Roman"/>
                      <w:noProof/>
                    </w:rPr>
                    <w:t>vidēji</w:t>
                  </w:r>
                  <w:r w:rsidR="00E16126" w:rsidRPr="00632980">
                    <w:rPr>
                      <w:rFonts w:ascii="Times New Roman" w:hAnsi="Times New Roman" w:cs="Times New Roman"/>
                      <w:noProof/>
                    </w:rPr>
                    <w:t xml:space="preserve"> </w:t>
                  </w:r>
                  <w:r w:rsidRPr="00632980">
                    <w:rPr>
                      <w:rFonts w:ascii="Times New Roman" w:hAnsi="Times New Roman" w:cs="Times New Roman"/>
                      <w:noProof/>
                    </w:rPr>
                    <w:t xml:space="preserve">uz vienu spēļu galdu (rulete, kārtis) (tūkst. </w:t>
                  </w:r>
                  <w:r w:rsidRPr="00632980">
                    <w:rPr>
                      <w:rFonts w:ascii="Times New Roman" w:hAnsi="Times New Roman" w:cs="Times New Roman"/>
                      <w:i/>
                      <w:noProof/>
                    </w:rPr>
                    <w:t>euro</w:t>
                  </w:r>
                  <w:r w:rsidRPr="00632980">
                    <w:rPr>
                      <w:rFonts w:ascii="Times New Roman" w:hAnsi="Times New Roman" w:cs="Times New Roman"/>
                      <w:noProof/>
                    </w:rPr>
                    <w:t>)</w:t>
                  </w:r>
                </w:p>
              </w:tc>
              <w:tc>
                <w:tcPr>
                  <w:tcW w:w="1275" w:type="dxa"/>
                  <w:tcBorders>
                    <w:top w:val="double" w:sz="4" w:space="0" w:color="auto"/>
                    <w:left w:val="dotted" w:sz="4" w:space="0" w:color="auto"/>
                    <w:bottom w:val="double" w:sz="4" w:space="0" w:color="auto"/>
                    <w:right w:val="dotted" w:sz="4" w:space="0" w:color="auto"/>
                  </w:tcBorders>
                  <w:vAlign w:val="center"/>
                </w:tcPr>
                <w:p w14:paraId="4F9C6EE0" w14:textId="2FEABD04" w:rsidR="00341340" w:rsidRPr="00632980" w:rsidRDefault="00341340" w:rsidP="00E25D2F">
                  <w:pPr>
                    <w:jc w:val="center"/>
                    <w:rPr>
                      <w:rFonts w:ascii="Times New Roman" w:hAnsi="Times New Roman" w:cs="Times New Roman"/>
                      <w:noProof/>
                    </w:rPr>
                  </w:pPr>
                  <w:r w:rsidRPr="00632980">
                    <w:rPr>
                      <w:rFonts w:ascii="Times New Roman" w:hAnsi="Times New Roman" w:cs="Times New Roman"/>
                      <w:noProof/>
                    </w:rPr>
                    <w:t>105,051</w:t>
                  </w:r>
                </w:p>
              </w:tc>
              <w:tc>
                <w:tcPr>
                  <w:tcW w:w="1276" w:type="dxa"/>
                  <w:tcBorders>
                    <w:top w:val="double" w:sz="4" w:space="0" w:color="auto"/>
                    <w:left w:val="dotted" w:sz="4" w:space="0" w:color="auto"/>
                    <w:bottom w:val="double" w:sz="4" w:space="0" w:color="auto"/>
                    <w:right w:val="dotted" w:sz="4" w:space="0" w:color="auto"/>
                  </w:tcBorders>
                  <w:vAlign w:val="center"/>
                </w:tcPr>
                <w:p w14:paraId="3F5671D9" w14:textId="30C3830F" w:rsidR="00341340" w:rsidRPr="00632980" w:rsidRDefault="00341340" w:rsidP="00E25D2F">
                  <w:pPr>
                    <w:jc w:val="center"/>
                    <w:rPr>
                      <w:rFonts w:ascii="Times New Roman" w:hAnsi="Times New Roman" w:cs="Times New Roman"/>
                      <w:noProof/>
                    </w:rPr>
                  </w:pPr>
                  <w:r w:rsidRPr="00632980">
                    <w:rPr>
                      <w:rFonts w:ascii="Times New Roman" w:hAnsi="Times New Roman" w:cs="Times New Roman"/>
                      <w:noProof/>
                    </w:rPr>
                    <w:t>107,603</w:t>
                  </w:r>
                </w:p>
              </w:tc>
              <w:tc>
                <w:tcPr>
                  <w:tcW w:w="1276" w:type="dxa"/>
                  <w:tcBorders>
                    <w:top w:val="double" w:sz="4" w:space="0" w:color="auto"/>
                    <w:left w:val="dotted" w:sz="4" w:space="0" w:color="auto"/>
                    <w:bottom w:val="double" w:sz="4" w:space="0" w:color="auto"/>
                    <w:right w:val="nil"/>
                  </w:tcBorders>
                  <w:vAlign w:val="center"/>
                </w:tcPr>
                <w:p w14:paraId="725A6FF0" w14:textId="202FC990" w:rsidR="00341340" w:rsidRPr="00632980" w:rsidRDefault="00341340" w:rsidP="00E25D2F">
                  <w:pPr>
                    <w:jc w:val="center"/>
                    <w:rPr>
                      <w:rFonts w:ascii="Times New Roman" w:hAnsi="Times New Roman" w:cs="Times New Roman"/>
                      <w:noProof/>
                    </w:rPr>
                  </w:pPr>
                  <w:r w:rsidRPr="00632980">
                    <w:rPr>
                      <w:rFonts w:ascii="Times New Roman" w:hAnsi="Times New Roman" w:cs="Times New Roman"/>
                      <w:noProof/>
                    </w:rPr>
                    <w:t>132,164</w:t>
                  </w:r>
                </w:p>
              </w:tc>
              <w:tc>
                <w:tcPr>
                  <w:tcW w:w="1276" w:type="dxa"/>
                  <w:tcBorders>
                    <w:top w:val="double" w:sz="4" w:space="0" w:color="auto"/>
                    <w:left w:val="dotted" w:sz="4" w:space="0" w:color="auto"/>
                    <w:bottom w:val="double" w:sz="4" w:space="0" w:color="auto"/>
                    <w:right w:val="nil"/>
                  </w:tcBorders>
                  <w:vAlign w:val="center"/>
                </w:tcPr>
                <w:p w14:paraId="12854FCA" w14:textId="2BB58B26" w:rsidR="00341340" w:rsidRPr="00632980" w:rsidRDefault="00341340" w:rsidP="00E25D2F">
                  <w:pPr>
                    <w:rPr>
                      <w:rFonts w:ascii="Times New Roman" w:hAnsi="Times New Roman" w:cs="Times New Roman"/>
                      <w:noProof/>
                    </w:rPr>
                  </w:pPr>
                  <w:r w:rsidRPr="00632980">
                    <w:rPr>
                      <w:rFonts w:ascii="Times New Roman" w:hAnsi="Times New Roman" w:cs="Times New Roman"/>
                      <w:noProof/>
                    </w:rPr>
                    <w:t xml:space="preserve">    125,8</w:t>
                  </w:r>
                </w:p>
              </w:tc>
            </w:tr>
            <w:tr w:rsidR="00A22B1F" w:rsidRPr="00632980" w14:paraId="5D9C23A2" w14:textId="77777777" w:rsidTr="00AD47B1">
              <w:trPr>
                <w:trHeight w:val="285"/>
              </w:trPr>
              <w:tc>
                <w:tcPr>
                  <w:tcW w:w="2127" w:type="dxa"/>
                  <w:tcBorders>
                    <w:top w:val="double" w:sz="4" w:space="0" w:color="auto"/>
                    <w:left w:val="nil"/>
                    <w:bottom w:val="double" w:sz="4" w:space="0" w:color="auto"/>
                    <w:right w:val="dotted" w:sz="4" w:space="0" w:color="auto"/>
                  </w:tcBorders>
                </w:tcPr>
                <w:p w14:paraId="3DD48880" w14:textId="77777777" w:rsidR="00E25D2F" w:rsidRPr="00632980" w:rsidRDefault="00E25D2F" w:rsidP="00E25D2F">
                  <w:pPr>
                    <w:ind w:hanging="6"/>
                    <w:contextualSpacing/>
                    <w:jc w:val="both"/>
                    <w:rPr>
                      <w:rFonts w:ascii="Times New Roman" w:hAnsi="Times New Roman" w:cs="Times New Roman"/>
                      <w:noProof/>
                    </w:rPr>
                  </w:pPr>
                  <w:r w:rsidRPr="00632980">
                    <w:rPr>
                      <w:rFonts w:ascii="Times New Roman" w:hAnsi="Times New Roman" w:cs="Times New Roman"/>
                      <w:noProof/>
                    </w:rPr>
                    <w:t>Azartspēļu automāti (skaits uz perioda beigām)</w:t>
                  </w:r>
                </w:p>
              </w:tc>
              <w:tc>
                <w:tcPr>
                  <w:tcW w:w="1275" w:type="dxa"/>
                  <w:tcBorders>
                    <w:top w:val="double" w:sz="4" w:space="0" w:color="auto"/>
                    <w:left w:val="dotted" w:sz="4" w:space="0" w:color="auto"/>
                    <w:bottom w:val="double" w:sz="4" w:space="0" w:color="auto"/>
                    <w:right w:val="dotted" w:sz="4" w:space="0" w:color="auto"/>
                  </w:tcBorders>
                  <w:vAlign w:val="center"/>
                </w:tcPr>
                <w:p w14:paraId="1D857942" w14:textId="77777777" w:rsidR="00E25D2F" w:rsidRPr="00632980" w:rsidRDefault="00E25D2F" w:rsidP="00E25D2F">
                  <w:pPr>
                    <w:jc w:val="center"/>
                    <w:rPr>
                      <w:rFonts w:ascii="Times New Roman" w:hAnsi="Times New Roman" w:cs="Times New Roman"/>
                      <w:noProof/>
                    </w:rPr>
                  </w:pPr>
                  <w:r w:rsidRPr="00632980">
                    <w:rPr>
                      <w:rFonts w:ascii="Times New Roman" w:hAnsi="Times New Roman" w:cs="Times New Roman"/>
                      <w:noProof/>
                    </w:rPr>
                    <w:t>8941</w:t>
                  </w:r>
                </w:p>
              </w:tc>
              <w:tc>
                <w:tcPr>
                  <w:tcW w:w="1276" w:type="dxa"/>
                  <w:tcBorders>
                    <w:top w:val="double" w:sz="4" w:space="0" w:color="auto"/>
                    <w:left w:val="dotted" w:sz="4" w:space="0" w:color="auto"/>
                    <w:bottom w:val="double" w:sz="4" w:space="0" w:color="auto"/>
                    <w:right w:val="dotted" w:sz="4" w:space="0" w:color="auto"/>
                  </w:tcBorders>
                  <w:vAlign w:val="center"/>
                </w:tcPr>
                <w:p w14:paraId="24899BE4" w14:textId="77777777" w:rsidR="00E25D2F" w:rsidRPr="00632980" w:rsidRDefault="00E25D2F" w:rsidP="00E25D2F">
                  <w:pPr>
                    <w:jc w:val="center"/>
                    <w:rPr>
                      <w:rFonts w:ascii="Times New Roman" w:hAnsi="Times New Roman" w:cs="Times New Roman"/>
                      <w:noProof/>
                    </w:rPr>
                  </w:pPr>
                  <w:r w:rsidRPr="00632980">
                    <w:rPr>
                      <w:rFonts w:ascii="Times New Roman" w:hAnsi="Times New Roman" w:cs="Times New Roman"/>
                      <w:noProof/>
                    </w:rPr>
                    <w:t>8629</w:t>
                  </w:r>
                </w:p>
              </w:tc>
              <w:tc>
                <w:tcPr>
                  <w:tcW w:w="1276" w:type="dxa"/>
                  <w:tcBorders>
                    <w:top w:val="double" w:sz="4" w:space="0" w:color="auto"/>
                    <w:left w:val="dotted" w:sz="4" w:space="0" w:color="auto"/>
                    <w:bottom w:val="double" w:sz="4" w:space="0" w:color="auto"/>
                    <w:right w:val="nil"/>
                  </w:tcBorders>
                  <w:vAlign w:val="center"/>
                </w:tcPr>
                <w:p w14:paraId="4E2E352C" w14:textId="77777777" w:rsidR="00E25D2F" w:rsidRPr="00632980" w:rsidRDefault="00E25D2F" w:rsidP="00E25D2F">
                  <w:pPr>
                    <w:jc w:val="center"/>
                    <w:rPr>
                      <w:rFonts w:ascii="Times New Roman" w:hAnsi="Times New Roman" w:cs="Times New Roman"/>
                      <w:noProof/>
                    </w:rPr>
                  </w:pPr>
                  <w:r w:rsidRPr="00632980">
                    <w:rPr>
                      <w:rFonts w:ascii="Times New Roman" w:hAnsi="Times New Roman" w:cs="Times New Roman"/>
                      <w:noProof/>
                    </w:rPr>
                    <w:t>8643</w:t>
                  </w:r>
                </w:p>
              </w:tc>
              <w:tc>
                <w:tcPr>
                  <w:tcW w:w="1276" w:type="dxa"/>
                  <w:tcBorders>
                    <w:top w:val="double" w:sz="4" w:space="0" w:color="auto"/>
                    <w:left w:val="dotted" w:sz="4" w:space="0" w:color="auto"/>
                    <w:bottom w:val="double" w:sz="4" w:space="0" w:color="auto"/>
                    <w:right w:val="nil"/>
                  </w:tcBorders>
                  <w:vAlign w:val="center"/>
                </w:tcPr>
                <w:p w14:paraId="5DBAAD6D" w14:textId="77777777" w:rsidR="00E25D2F" w:rsidRPr="00632980" w:rsidRDefault="00E25D2F" w:rsidP="00E25D2F">
                  <w:pPr>
                    <w:rPr>
                      <w:rFonts w:ascii="Times New Roman" w:hAnsi="Times New Roman" w:cs="Times New Roman"/>
                      <w:noProof/>
                    </w:rPr>
                  </w:pPr>
                  <w:r w:rsidRPr="00632980">
                    <w:rPr>
                      <w:rFonts w:ascii="Times New Roman" w:hAnsi="Times New Roman" w:cs="Times New Roman"/>
                      <w:noProof/>
                    </w:rPr>
                    <w:t xml:space="preserve">     96,7</w:t>
                  </w:r>
                </w:p>
              </w:tc>
            </w:tr>
            <w:tr w:rsidR="00A22B1F" w:rsidRPr="00632980" w14:paraId="51D1BDDE" w14:textId="77777777" w:rsidTr="00AD47B1">
              <w:trPr>
                <w:trHeight w:val="285"/>
              </w:trPr>
              <w:tc>
                <w:tcPr>
                  <w:tcW w:w="2127" w:type="dxa"/>
                  <w:tcBorders>
                    <w:top w:val="double" w:sz="4" w:space="0" w:color="auto"/>
                    <w:left w:val="nil"/>
                    <w:bottom w:val="double" w:sz="4" w:space="0" w:color="auto"/>
                    <w:right w:val="dotted" w:sz="4" w:space="0" w:color="auto"/>
                  </w:tcBorders>
                </w:tcPr>
                <w:p w14:paraId="762D2884" w14:textId="15AFCB1C" w:rsidR="00E25D2F" w:rsidRPr="00632980" w:rsidRDefault="00873451" w:rsidP="00E25D2F">
                  <w:pPr>
                    <w:ind w:hanging="6"/>
                    <w:contextualSpacing/>
                    <w:jc w:val="both"/>
                    <w:rPr>
                      <w:rFonts w:ascii="Times New Roman" w:hAnsi="Times New Roman" w:cs="Times New Roman"/>
                      <w:noProof/>
                    </w:rPr>
                  </w:pPr>
                  <w:r w:rsidRPr="00632980">
                    <w:rPr>
                      <w:rFonts w:ascii="Times New Roman" w:hAnsi="Times New Roman" w:cs="Times New Roman"/>
                      <w:noProof/>
                    </w:rPr>
                    <w:lastRenderedPageBreak/>
                    <w:t>Spēļu galdi (rulete, kārtis</w:t>
                  </w:r>
                  <w:r w:rsidR="0014356A" w:rsidRPr="00632980">
                    <w:rPr>
                      <w:rFonts w:ascii="Times New Roman" w:hAnsi="Times New Roman" w:cs="Times New Roman"/>
                      <w:noProof/>
                    </w:rPr>
                    <w:t>)</w:t>
                  </w:r>
                  <w:r w:rsidRPr="00632980">
                    <w:rPr>
                      <w:rFonts w:ascii="Times New Roman" w:hAnsi="Times New Roman" w:cs="Times New Roman"/>
                      <w:noProof/>
                    </w:rPr>
                    <w:t xml:space="preserve"> (skaits uz perioda beigām)</w:t>
                  </w:r>
                </w:p>
              </w:tc>
              <w:tc>
                <w:tcPr>
                  <w:tcW w:w="1275" w:type="dxa"/>
                  <w:tcBorders>
                    <w:top w:val="double" w:sz="4" w:space="0" w:color="auto"/>
                    <w:left w:val="dotted" w:sz="4" w:space="0" w:color="auto"/>
                    <w:bottom w:val="double" w:sz="4" w:space="0" w:color="auto"/>
                    <w:right w:val="dotted" w:sz="4" w:space="0" w:color="auto"/>
                  </w:tcBorders>
                  <w:vAlign w:val="center"/>
                </w:tcPr>
                <w:p w14:paraId="3D784F68" w14:textId="5917D58F" w:rsidR="00E25D2F" w:rsidRPr="00632980" w:rsidRDefault="00873451" w:rsidP="00E25D2F">
                  <w:pPr>
                    <w:jc w:val="center"/>
                    <w:rPr>
                      <w:rFonts w:ascii="Times New Roman" w:hAnsi="Times New Roman" w:cs="Times New Roman"/>
                      <w:noProof/>
                    </w:rPr>
                  </w:pPr>
                  <w:r w:rsidRPr="00632980">
                    <w:rPr>
                      <w:rFonts w:ascii="Times New Roman" w:hAnsi="Times New Roman" w:cs="Times New Roman"/>
                      <w:noProof/>
                    </w:rPr>
                    <w:t>78</w:t>
                  </w:r>
                </w:p>
              </w:tc>
              <w:tc>
                <w:tcPr>
                  <w:tcW w:w="1276" w:type="dxa"/>
                  <w:tcBorders>
                    <w:top w:val="double" w:sz="4" w:space="0" w:color="auto"/>
                    <w:left w:val="dotted" w:sz="4" w:space="0" w:color="auto"/>
                    <w:bottom w:val="double" w:sz="4" w:space="0" w:color="auto"/>
                    <w:right w:val="dotted" w:sz="4" w:space="0" w:color="auto"/>
                  </w:tcBorders>
                  <w:vAlign w:val="center"/>
                </w:tcPr>
                <w:p w14:paraId="4B8B2192" w14:textId="4A0D006C" w:rsidR="00E25D2F" w:rsidRPr="00632980" w:rsidRDefault="00873451" w:rsidP="00E25D2F">
                  <w:pPr>
                    <w:jc w:val="center"/>
                    <w:rPr>
                      <w:rFonts w:ascii="Times New Roman" w:hAnsi="Times New Roman" w:cs="Times New Roman"/>
                      <w:noProof/>
                    </w:rPr>
                  </w:pPr>
                  <w:r w:rsidRPr="00632980">
                    <w:rPr>
                      <w:rFonts w:ascii="Times New Roman" w:hAnsi="Times New Roman" w:cs="Times New Roman"/>
                      <w:noProof/>
                    </w:rPr>
                    <w:t>73</w:t>
                  </w:r>
                </w:p>
              </w:tc>
              <w:tc>
                <w:tcPr>
                  <w:tcW w:w="1276" w:type="dxa"/>
                  <w:tcBorders>
                    <w:top w:val="double" w:sz="4" w:space="0" w:color="auto"/>
                    <w:left w:val="dotted" w:sz="4" w:space="0" w:color="auto"/>
                    <w:bottom w:val="double" w:sz="4" w:space="0" w:color="auto"/>
                    <w:right w:val="nil"/>
                  </w:tcBorders>
                  <w:vAlign w:val="center"/>
                </w:tcPr>
                <w:p w14:paraId="3393C13F" w14:textId="13D11B4D" w:rsidR="00E25D2F" w:rsidRPr="00632980" w:rsidRDefault="00873451" w:rsidP="00E25D2F">
                  <w:pPr>
                    <w:jc w:val="center"/>
                    <w:rPr>
                      <w:rFonts w:ascii="Times New Roman" w:hAnsi="Times New Roman" w:cs="Times New Roman"/>
                      <w:noProof/>
                    </w:rPr>
                  </w:pPr>
                  <w:r w:rsidRPr="00632980">
                    <w:rPr>
                      <w:rFonts w:ascii="Times New Roman" w:hAnsi="Times New Roman" w:cs="Times New Roman"/>
                      <w:noProof/>
                    </w:rPr>
                    <w:t>61</w:t>
                  </w:r>
                </w:p>
              </w:tc>
              <w:tc>
                <w:tcPr>
                  <w:tcW w:w="1276" w:type="dxa"/>
                  <w:tcBorders>
                    <w:top w:val="double" w:sz="4" w:space="0" w:color="auto"/>
                    <w:left w:val="dotted" w:sz="4" w:space="0" w:color="auto"/>
                    <w:bottom w:val="double" w:sz="4" w:space="0" w:color="auto"/>
                    <w:right w:val="nil"/>
                  </w:tcBorders>
                  <w:vAlign w:val="center"/>
                </w:tcPr>
                <w:p w14:paraId="4669543F" w14:textId="0C87A934" w:rsidR="00E25D2F" w:rsidRPr="00632980" w:rsidRDefault="00873451" w:rsidP="00E25D2F">
                  <w:pPr>
                    <w:rPr>
                      <w:rFonts w:ascii="Times New Roman" w:hAnsi="Times New Roman" w:cs="Times New Roman"/>
                      <w:noProof/>
                    </w:rPr>
                  </w:pPr>
                  <w:r w:rsidRPr="00632980">
                    <w:rPr>
                      <w:rFonts w:ascii="Times New Roman" w:hAnsi="Times New Roman" w:cs="Times New Roman"/>
                      <w:noProof/>
                    </w:rPr>
                    <w:t xml:space="preserve">     79,1</w:t>
                  </w:r>
                </w:p>
              </w:tc>
            </w:tr>
          </w:tbl>
          <w:p w14:paraId="38DFAC63" w14:textId="6C91C1C3" w:rsidR="00E36A26" w:rsidRPr="00632980" w:rsidRDefault="00E36A26" w:rsidP="008D74EA">
            <w:pPr>
              <w:jc w:val="both"/>
              <w:rPr>
                <w:i/>
                <w:noProof/>
                <w:shd w:val="clear" w:color="auto" w:fill="FFFFFF"/>
              </w:rPr>
            </w:pPr>
            <w:r w:rsidRPr="00632980">
              <w:rPr>
                <w:noProof/>
              </w:rPr>
              <w:t xml:space="preserve">* </w:t>
            </w:r>
            <w:r w:rsidRPr="00632980">
              <w:rPr>
                <w:b/>
                <w:i/>
                <w:noProof/>
              </w:rPr>
              <w:t>Avots</w:t>
            </w:r>
            <w:r w:rsidRPr="00632980">
              <w:rPr>
                <w:i/>
                <w:noProof/>
              </w:rPr>
              <w:t>: Izložu un azartspēļu uzraudzības inspekcijas dati</w:t>
            </w:r>
          </w:p>
          <w:p w14:paraId="2FF8EDBB" w14:textId="77777777" w:rsidR="005C7A17" w:rsidRPr="00632980" w:rsidRDefault="005C7A17" w:rsidP="008D74EA">
            <w:pPr>
              <w:jc w:val="both"/>
              <w:rPr>
                <w:noProof/>
                <w:shd w:val="clear" w:color="auto" w:fill="FFFFFF"/>
              </w:rPr>
            </w:pPr>
          </w:p>
          <w:p w14:paraId="6A145472" w14:textId="3E8FDC08" w:rsidR="009830A2" w:rsidRPr="00632980" w:rsidRDefault="009830A2" w:rsidP="008D74EA">
            <w:pPr>
              <w:jc w:val="both"/>
              <w:rPr>
                <w:noProof/>
              </w:rPr>
            </w:pPr>
            <w:r w:rsidRPr="00632980">
              <w:rPr>
                <w:noProof/>
                <w:shd w:val="clear" w:color="auto" w:fill="FFFFFF"/>
              </w:rPr>
              <w:t>Neskatoties uz to, ka, sākot ar 2018.gadu, videospēlēm un mehāniskiem automātiem</w:t>
            </w:r>
            <w:r w:rsidR="00FA27F4" w:rsidRPr="00632980">
              <w:rPr>
                <w:noProof/>
              </w:rPr>
              <w:t xml:space="preserve"> ruletei un kāršu un kauliņu</w:t>
            </w:r>
            <w:r w:rsidR="0057142E" w:rsidRPr="00632980">
              <w:rPr>
                <w:noProof/>
              </w:rPr>
              <w:t xml:space="preserve"> </w:t>
            </w:r>
            <w:r w:rsidR="00FA27F4" w:rsidRPr="00632980">
              <w:rPr>
                <w:noProof/>
              </w:rPr>
              <w:t>spēles galdiem</w:t>
            </w:r>
            <w:r w:rsidRPr="00632980">
              <w:rPr>
                <w:noProof/>
                <w:shd w:val="clear" w:color="auto" w:fill="FFFFFF"/>
              </w:rPr>
              <w:t xml:space="preserve"> nodokļa likmes tika paaugstinātas par 30 procentiem, azartspēļu automātu </w:t>
            </w:r>
            <w:r w:rsidR="00FA27F4" w:rsidRPr="00632980">
              <w:rPr>
                <w:noProof/>
                <w:shd w:val="clear" w:color="auto" w:fill="FFFFFF"/>
              </w:rPr>
              <w:t xml:space="preserve">un galdu </w:t>
            </w:r>
            <w:r w:rsidRPr="00632980">
              <w:rPr>
                <w:noProof/>
                <w:shd w:val="clear" w:color="auto" w:fill="FFFFFF"/>
              </w:rPr>
              <w:t xml:space="preserve">skaits, salīdzinot ar 2017.gada pirmo pusgadu, </w:t>
            </w:r>
            <w:r w:rsidR="00FA27F4" w:rsidRPr="00632980">
              <w:rPr>
                <w:noProof/>
                <w:shd w:val="clear" w:color="auto" w:fill="FFFFFF"/>
              </w:rPr>
              <w:t>ir</w:t>
            </w:r>
            <w:r w:rsidRPr="00632980">
              <w:rPr>
                <w:noProof/>
                <w:shd w:val="clear" w:color="auto" w:fill="FFFFFF"/>
              </w:rPr>
              <w:t xml:space="preserve"> samazinājies, bet apgrozījums ir būtiski pieaudzis</w:t>
            </w:r>
            <w:r w:rsidR="00FA27F4" w:rsidRPr="00632980">
              <w:rPr>
                <w:noProof/>
                <w:shd w:val="clear" w:color="auto" w:fill="FFFFFF"/>
              </w:rPr>
              <w:t xml:space="preserve"> uz vienu</w:t>
            </w:r>
            <w:r w:rsidR="00D14D55" w:rsidRPr="00632980">
              <w:rPr>
                <w:noProof/>
                <w:shd w:val="clear" w:color="auto" w:fill="FFFFFF"/>
              </w:rPr>
              <w:t xml:space="preserve"> azartspēļu automātu un uz vienu</w:t>
            </w:r>
            <w:r w:rsidR="00FA27F4" w:rsidRPr="00632980">
              <w:rPr>
                <w:noProof/>
                <w:shd w:val="clear" w:color="auto" w:fill="FFFFFF"/>
              </w:rPr>
              <w:t xml:space="preserve"> galdu</w:t>
            </w:r>
            <w:r w:rsidRPr="00632980">
              <w:rPr>
                <w:noProof/>
                <w:shd w:val="clear" w:color="auto" w:fill="FFFFFF"/>
              </w:rPr>
              <w:t>.</w:t>
            </w:r>
          </w:p>
          <w:p w14:paraId="490BB03A" w14:textId="3A72BEAD" w:rsidR="00630F18" w:rsidRPr="00632980" w:rsidRDefault="009830A2" w:rsidP="008D74EA">
            <w:pPr>
              <w:jc w:val="both"/>
              <w:rPr>
                <w:noProof/>
                <w:shd w:val="clear" w:color="auto" w:fill="FFFFFF"/>
              </w:rPr>
            </w:pPr>
            <w:r w:rsidRPr="00632980">
              <w:rPr>
                <w:noProof/>
                <w:shd w:val="clear" w:color="auto" w:fill="FFFFFF"/>
              </w:rPr>
              <w:t>Lai novirzītu nodokļu slogu no darbaspēka uz patēriņu un kapitālu, sabalansētu nodokļa likmes ar inflācijas un vidējo algu pieaugumu valstī un azartspēļu finansiālās darbības apgrozījuma pieaugumu, kā arī palielinātu ieņēmumus valsts budžetā,</w:t>
            </w:r>
            <w:r w:rsidR="00D14D55" w:rsidRPr="00632980">
              <w:rPr>
                <w:noProof/>
                <w:shd w:val="clear" w:color="auto" w:fill="FFFFFF"/>
              </w:rPr>
              <w:t xml:space="preserve"> lai nodrošinātu valsts izdevumu pozīciju segšanu, </w:t>
            </w:r>
            <w:r w:rsidR="00F3605F" w:rsidRPr="00632980">
              <w:rPr>
                <w:noProof/>
                <w:shd w:val="clear" w:color="auto" w:fill="FFFFFF"/>
              </w:rPr>
              <w:t>l</w:t>
            </w:r>
            <w:r w:rsidR="00630F18" w:rsidRPr="00632980">
              <w:rPr>
                <w:noProof/>
                <w:shd w:val="clear" w:color="auto" w:fill="FFFFFF"/>
              </w:rPr>
              <w:t>ikumprojekts paredz,</w:t>
            </w:r>
            <w:r w:rsidRPr="00632980">
              <w:rPr>
                <w:noProof/>
                <w:shd w:val="clear" w:color="auto" w:fill="FFFFFF"/>
              </w:rPr>
              <w:t xml:space="preserve"> </w:t>
            </w:r>
            <w:r w:rsidR="00E34F02" w:rsidRPr="00632980">
              <w:rPr>
                <w:noProof/>
                <w:shd w:val="clear" w:color="auto" w:fill="FFFFFF"/>
              </w:rPr>
              <w:t>sākot ar 2020.gadu</w:t>
            </w:r>
            <w:r w:rsidR="00630F18" w:rsidRPr="00632980">
              <w:rPr>
                <w:noProof/>
                <w:shd w:val="clear" w:color="auto" w:fill="FFFFFF"/>
              </w:rPr>
              <w:t>:</w:t>
            </w:r>
          </w:p>
          <w:p w14:paraId="3535EBBD" w14:textId="6806494A" w:rsidR="00E34F02" w:rsidRPr="00632980" w:rsidRDefault="00630F18" w:rsidP="0094211C">
            <w:pPr>
              <w:jc w:val="both"/>
              <w:rPr>
                <w:noProof/>
                <w:shd w:val="clear" w:color="auto" w:fill="FFFFFF"/>
              </w:rPr>
            </w:pPr>
            <w:r w:rsidRPr="00632980">
              <w:rPr>
                <w:noProof/>
                <w:shd w:val="clear" w:color="auto" w:fill="FFFFFF"/>
              </w:rPr>
              <w:t xml:space="preserve">- </w:t>
            </w:r>
            <w:r w:rsidR="009830A2" w:rsidRPr="00632980">
              <w:rPr>
                <w:noProof/>
                <w:shd w:val="clear" w:color="auto" w:fill="FFFFFF"/>
              </w:rPr>
              <w:t>paaugstināt azartspēļu nodokļa likmi</w:t>
            </w:r>
            <w:r w:rsidRPr="00632980">
              <w:rPr>
                <w:noProof/>
                <w:shd w:val="clear" w:color="auto" w:fill="FFFFFF"/>
              </w:rPr>
              <w:t xml:space="preserve"> ruletei (cilindriskajai spēlei) </w:t>
            </w:r>
            <w:r w:rsidRPr="00632980">
              <w:rPr>
                <w:noProof/>
              </w:rPr>
              <w:t> (</w:t>
            </w:r>
            <w:r w:rsidRPr="00632980">
              <w:rPr>
                <w:noProof/>
                <w:shd w:val="clear" w:color="auto" w:fill="FFFFFF"/>
              </w:rPr>
              <w:t>par katru ruletes rotējošajai iekārtai pievienoto spēļu galdu)</w:t>
            </w:r>
            <w:r w:rsidRPr="00632980">
              <w:rPr>
                <w:noProof/>
              </w:rPr>
              <w:t xml:space="preserve"> un</w:t>
            </w:r>
            <w:r w:rsidR="00E34F02" w:rsidRPr="00632980">
              <w:rPr>
                <w:noProof/>
              </w:rPr>
              <w:t> </w:t>
            </w:r>
            <w:r w:rsidR="00E34F02" w:rsidRPr="00632980">
              <w:rPr>
                <w:noProof/>
                <w:shd w:val="clear" w:color="auto" w:fill="FFFFFF"/>
              </w:rPr>
              <w:t> </w:t>
            </w:r>
            <w:r w:rsidRPr="00632980">
              <w:rPr>
                <w:noProof/>
                <w:shd w:val="clear" w:color="auto" w:fill="FFFFFF"/>
              </w:rPr>
              <w:t xml:space="preserve">kāršu un kauliņu spēlēm (par katru galdu) </w:t>
            </w:r>
            <w:r w:rsidR="00E34F02" w:rsidRPr="00632980">
              <w:rPr>
                <w:noProof/>
              </w:rPr>
              <w:t xml:space="preserve">par kalendāro gadu </w:t>
            </w:r>
            <w:r w:rsidR="00692EBA" w:rsidRPr="00632980">
              <w:rPr>
                <w:noProof/>
              </w:rPr>
              <w:t>no </w:t>
            </w:r>
            <w:r w:rsidR="00692EBA" w:rsidRPr="00632980">
              <w:rPr>
                <w:b/>
                <w:bCs/>
                <w:noProof/>
                <w:shd w:val="clear" w:color="auto" w:fill="FFFFFF"/>
              </w:rPr>
              <w:t>23 400 </w:t>
            </w:r>
            <w:r w:rsidR="00692EBA" w:rsidRPr="00632980">
              <w:rPr>
                <w:bCs/>
                <w:i/>
                <w:iCs/>
                <w:noProof/>
                <w:shd w:val="clear" w:color="auto" w:fill="FFFFFF"/>
              </w:rPr>
              <w:t>euro</w:t>
            </w:r>
            <w:r w:rsidR="00692EBA" w:rsidRPr="00632980">
              <w:rPr>
                <w:b/>
                <w:bCs/>
                <w:i/>
                <w:iCs/>
                <w:noProof/>
                <w:shd w:val="clear" w:color="auto" w:fill="FFFFFF"/>
              </w:rPr>
              <w:t> </w:t>
            </w:r>
            <w:r w:rsidR="00692EBA" w:rsidRPr="00632980">
              <w:rPr>
                <w:noProof/>
                <w:shd w:val="clear" w:color="auto" w:fill="FFFFFF"/>
              </w:rPr>
              <w:t xml:space="preserve">uz </w:t>
            </w:r>
            <w:r w:rsidR="00E34F02" w:rsidRPr="00632980">
              <w:rPr>
                <w:b/>
                <w:bCs/>
                <w:i/>
                <w:iCs/>
                <w:noProof/>
                <w:shd w:val="clear" w:color="auto" w:fill="FFFFFF"/>
              </w:rPr>
              <w:t> </w:t>
            </w:r>
            <w:r w:rsidR="000A06E7" w:rsidRPr="00632980">
              <w:rPr>
                <w:b/>
                <w:bCs/>
                <w:noProof/>
                <w:shd w:val="clear" w:color="auto" w:fill="FFFFFF"/>
              </w:rPr>
              <w:t>28 080 </w:t>
            </w:r>
            <w:r w:rsidR="00E34F02" w:rsidRPr="00632980">
              <w:rPr>
                <w:b/>
                <w:bCs/>
                <w:noProof/>
                <w:shd w:val="clear" w:color="auto" w:fill="FFFFFF"/>
              </w:rPr>
              <w:t> </w:t>
            </w:r>
            <w:r w:rsidR="00E34F02" w:rsidRPr="00632980">
              <w:rPr>
                <w:bCs/>
                <w:i/>
                <w:iCs/>
                <w:noProof/>
                <w:shd w:val="clear" w:color="auto" w:fill="FFFFFF"/>
              </w:rPr>
              <w:t>euro</w:t>
            </w:r>
            <w:r w:rsidR="00E34F02" w:rsidRPr="00632980">
              <w:rPr>
                <w:noProof/>
              </w:rPr>
              <w:t xml:space="preserve">; </w:t>
            </w:r>
          </w:p>
          <w:p w14:paraId="5ADBB436" w14:textId="00277205" w:rsidR="00E34F02" w:rsidRPr="00632980" w:rsidRDefault="00E34F02" w:rsidP="008D74EA">
            <w:pPr>
              <w:jc w:val="both"/>
              <w:rPr>
                <w:noProof/>
                <w:shd w:val="clear" w:color="auto" w:fill="FFFFFF"/>
              </w:rPr>
            </w:pPr>
            <w:r w:rsidRPr="00632980">
              <w:rPr>
                <w:noProof/>
                <w:shd w:val="clear" w:color="auto" w:fill="FFFFFF"/>
              </w:rPr>
              <w:t>-</w:t>
            </w:r>
            <w:r w:rsidR="009830A2" w:rsidRPr="00632980">
              <w:rPr>
                <w:noProof/>
                <w:shd w:val="clear" w:color="auto" w:fill="FFFFFF"/>
              </w:rPr>
              <w:t xml:space="preserve"> </w:t>
            </w:r>
            <w:r w:rsidR="00692EBA" w:rsidRPr="00632980">
              <w:rPr>
                <w:noProof/>
                <w:shd w:val="clear" w:color="auto" w:fill="FFFFFF"/>
              </w:rPr>
              <w:t xml:space="preserve">paaugstināt azartspēļu nodokļa likmi azartspēļu </w:t>
            </w:r>
            <w:r w:rsidR="009830A2" w:rsidRPr="00632980">
              <w:rPr>
                <w:noProof/>
                <w:shd w:val="clear" w:color="auto" w:fill="FFFFFF"/>
              </w:rPr>
              <w:t xml:space="preserve">automātiem </w:t>
            </w:r>
            <w:r w:rsidR="009830A2" w:rsidRPr="00632980">
              <w:rPr>
                <w:noProof/>
              </w:rPr>
              <w:t>–</w:t>
            </w:r>
            <w:r w:rsidR="009830A2" w:rsidRPr="00632980">
              <w:rPr>
                <w:noProof/>
                <w:shd w:val="clear" w:color="auto" w:fill="FFFFFF"/>
              </w:rPr>
              <w:t xml:space="preserve"> par katra </w:t>
            </w:r>
            <w:r w:rsidR="00692EBA" w:rsidRPr="00632980">
              <w:rPr>
                <w:noProof/>
                <w:shd w:val="clear" w:color="auto" w:fill="FFFFFF"/>
              </w:rPr>
              <w:t xml:space="preserve">azarstspēļu </w:t>
            </w:r>
            <w:r w:rsidR="009830A2" w:rsidRPr="00632980">
              <w:rPr>
                <w:noProof/>
                <w:shd w:val="clear" w:color="auto" w:fill="FFFFFF"/>
              </w:rPr>
              <w:t xml:space="preserve">automāta katru spēles vietu </w:t>
            </w:r>
            <w:r w:rsidR="00692EBA" w:rsidRPr="00632980">
              <w:rPr>
                <w:noProof/>
              </w:rPr>
              <w:t xml:space="preserve">no </w:t>
            </w:r>
            <w:r w:rsidR="00692EBA" w:rsidRPr="00632980">
              <w:rPr>
                <w:b/>
                <w:noProof/>
              </w:rPr>
              <w:t>4164</w:t>
            </w:r>
            <w:r w:rsidR="00692EBA" w:rsidRPr="00632980">
              <w:rPr>
                <w:b/>
                <w:bCs/>
                <w:noProof/>
                <w:shd w:val="clear" w:color="auto" w:fill="FFFFFF"/>
              </w:rPr>
              <w:t> </w:t>
            </w:r>
            <w:r w:rsidR="00692EBA" w:rsidRPr="00632980">
              <w:rPr>
                <w:bCs/>
                <w:i/>
                <w:iCs/>
                <w:noProof/>
                <w:shd w:val="clear" w:color="auto" w:fill="FFFFFF"/>
              </w:rPr>
              <w:t>euro</w:t>
            </w:r>
            <w:r w:rsidR="00692EBA" w:rsidRPr="00632980">
              <w:rPr>
                <w:b/>
                <w:bCs/>
                <w:i/>
                <w:iCs/>
                <w:noProof/>
                <w:shd w:val="clear" w:color="auto" w:fill="FFFFFF"/>
              </w:rPr>
              <w:t> </w:t>
            </w:r>
            <w:r w:rsidR="00692EBA" w:rsidRPr="00632980">
              <w:rPr>
                <w:noProof/>
                <w:shd w:val="clear" w:color="auto" w:fill="FFFFFF"/>
              </w:rPr>
              <w:t xml:space="preserve">uz  </w:t>
            </w:r>
            <w:r w:rsidR="009830A2" w:rsidRPr="00632980">
              <w:rPr>
                <w:b/>
                <w:noProof/>
                <w:shd w:val="clear" w:color="auto" w:fill="FFFFFF"/>
              </w:rPr>
              <w:t>6000</w:t>
            </w:r>
            <w:r w:rsidR="009830A2" w:rsidRPr="00632980">
              <w:rPr>
                <w:noProof/>
                <w:shd w:val="clear" w:color="auto" w:fill="FFFFFF"/>
              </w:rPr>
              <w:t xml:space="preserve"> </w:t>
            </w:r>
            <w:r w:rsidR="009830A2" w:rsidRPr="00632980">
              <w:rPr>
                <w:i/>
                <w:noProof/>
                <w:shd w:val="clear" w:color="auto" w:fill="FFFFFF"/>
              </w:rPr>
              <w:t>euro</w:t>
            </w:r>
            <w:r w:rsidR="009830A2" w:rsidRPr="00632980">
              <w:rPr>
                <w:noProof/>
                <w:shd w:val="clear" w:color="auto" w:fill="FFFFFF"/>
              </w:rPr>
              <w:t xml:space="preserve"> par kalendāro gadu</w:t>
            </w:r>
            <w:r w:rsidR="00085D40" w:rsidRPr="00632980">
              <w:rPr>
                <w:noProof/>
                <w:shd w:val="clear" w:color="auto" w:fill="FFFFFF"/>
              </w:rPr>
              <w:t>;</w:t>
            </w:r>
          </w:p>
          <w:p w14:paraId="54B0E263" w14:textId="15BC404A" w:rsidR="00085D40" w:rsidRDefault="00085D40" w:rsidP="008D74EA">
            <w:pPr>
              <w:jc w:val="both"/>
              <w:rPr>
                <w:noProof/>
                <w:shd w:val="clear" w:color="auto" w:fill="FFFFFF"/>
              </w:rPr>
            </w:pPr>
            <w:r w:rsidRPr="00632980">
              <w:rPr>
                <w:noProof/>
                <w:shd w:val="clear" w:color="auto" w:fill="FFFFFF"/>
              </w:rPr>
              <w:t xml:space="preserve">- mainīt azartspēļu nodokļa ieņēmumu sadalījumu pa valsts un pašvaldību budžetiem, paredzot azartspēļu nodokļa </w:t>
            </w:r>
            <w:r w:rsidR="00D14D55" w:rsidRPr="00632980">
              <w:rPr>
                <w:noProof/>
                <w:shd w:val="clear" w:color="auto" w:fill="FFFFFF"/>
              </w:rPr>
              <w:t xml:space="preserve">ieņēmumus (izņemot azartspēļu nodokļa ieņēmumus par šā likuma 3.panta piektajā daļā minēto objektu) </w:t>
            </w:r>
            <w:r w:rsidR="00692EBA" w:rsidRPr="00632980">
              <w:rPr>
                <w:b/>
                <w:noProof/>
                <w:shd w:val="clear" w:color="auto" w:fill="FFFFFF"/>
              </w:rPr>
              <w:t>78</w:t>
            </w:r>
            <w:r w:rsidRPr="00632980">
              <w:rPr>
                <w:noProof/>
                <w:shd w:val="clear" w:color="auto" w:fill="FFFFFF"/>
              </w:rPr>
              <w:t xml:space="preserve"> procentu apmērā ieskaitīt valsts pamatbudžetā, bet </w:t>
            </w:r>
            <w:r w:rsidR="00692EBA" w:rsidRPr="00632980">
              <w:rPr>
                <w:b/>
                <w:noProof/>
                <w:shd w:val="clear" w:color="auto" w:fill="FFFFFF"/>
              </w:rPr>
              <w:t>22</w:t>
            </w:r>
            <w:r w:rsidRPr="00632980">
              <w:rPr>
                <w:noProof/>
                <w:shd w:val="clear" w:color="auto" w:fill="FFFFFF"/>
              </w:rPr>
              <w:t xml:space="preserve"> procentu apmērā </w:t>
            </w:r>
            <w:r w:rsidR="00D14D55" w:rsidRPr="00632980">
              <w:rPr>
                <w:noProof/>
                <w:shd w:val="clear" w:color="auto" w:fill="FFFFFF"/>
              </w:rPr>
              <w:t>-</w:t>
            </w:r>
            <w:r w:rsidRPr="00632980">
              <w:rPr>
                <w:noProof/>
                <w:shd w:val="clear" w:color="auto" w:fill="FFFFFF"/>
              </w:rPr>
              <w:t xml:space="preserve"> tās pašvaldības budžetā, kuras teritorijā tiek organizēta azartspēle</w:t>
            </w:r>
            <w:r w:rsidR="00D14D55" w:rsidRPr="00632980">
              <w:rPr>
                <w:noProof/>
                <w:shd w:val="clear" w:color="auto" w:fill="FFFFFF"/>
              </w:rPr>
              <w:t>.</w:t>
            </w:r>
          </w:p>
          <w:p w14:paraId="71FB0483" w14:textId="3F42E091" w:rsidR="00E01799" w:rsidRPr="0042241E" w:rsidRDefault="00E01799" w:rsidP="008D74EA">
            <w:pPr>
              <w:jc w:val="both"/>
              <w:rPr>
                <w:noProof/>
                <w:shd w:val="clear" w:color="auto" w:fill="FFFFFF"/>
              </w:rPr>
            </w:pPr>
            <w:r w:rsidRPr="006C6082">
              <w:t>Lēmums par azartspēļu nodokļa sadalījuma maiņu pa budžetiem tika pieņemts, lai sabalansētu valsts budžetu un nodrošinātu fiskālo ietvaru.</w:t>
            </w:r>
          </w:p>
          <w:p w14:paraId="2CD8A732" w14:textId="7F04EEE5" w:rsidR="00F3605F" w:rsidRPr="00632980" w:rsidRDefault="00F3605F" w:rsidP="008D74EA">
            <w:pPr>
              <w:jc w:val="both"/>
              <w:rPr>
                <w:noProof/>
                <w:shd w:val="clear" w:color="auto" w:fill="FFFFFF"/>
              </w:rPr>
            </w:pPr>
            <w:r w:rsidRPr="00632980">
              <w:rPr>
                <w:noProof/>
                <w:shd w:val="clear" w:color="auto" w:fill="FFFFFF"/>
              </w:rPr>
              <w:t>Likumprojektā veikti tehniska rakstura precizējumi, precizējot novecojušu terminoloģiju un izslēdzot novecojušu normu.</w:t>
            </w:r>
          </w:p>
          <w:p w14:paraId="63BF72AD" w14:textId="1377874A" w:rsidR="00D46695" w:rsidRPr="00632980" w:rsidRDefault="007D4A68" w:rsidP="008D74EA">
            <w:pPr>
              <w:autoSpaceDE w:val="0"/>
              <w:autoSpaceDN w:val="0"/>
              <w:adjustRightInd w:val="0"/>
              <w:jc w:val="both"/>
              <w:rPr>
                <w:noProof/>
                <w:lang w:eastAsia="en-US"/>
              </w:rPr>
            </w:pPr>
            <w:r w:rsidRPr="00632980">
              <w:rPr>
                <w:noProof/>
              </w:rPr>
              <w:t>Likumprojektā paredzēts, ka likums stāsies spēkā 20</w:t>
            </w:r>
            <w:r w:rsidR="00F64F56" w:rsidRPr="00632980">
              <w:rPr>
                <w:noProof/>
              </w:rPr>
              <w:t>20</w:t>
            </w:r>
            <w:r w:rsidRPr="00632980">
              <w:rPr>
                <w:noProof/>
              </w:rPr>
              <w:t>.gada 1.janvārī.</w:t>
            </w:r>
          </w:p>
        </w:tc>
      </w:tr>
      <w:tr w:rsidR="00A22B1F" w:rsidRPr="00632980" w14:paraId="63BF72B2" w14:textId="77777777" w:rsidTr="0069144E">
        <w:tc>
          <w:tcPr>
            <w:tcW w:w="357" w:type="pct"/>
            <w:tcBorders>
              <w:top w:val="outset" w:sz="6" w:space="0" w:color="000000"/>
              <w:left w:val="outset" w:sz="6" w:space="0" w:color="000000"/>
              <w:bottom w:val="outset" w:sz="6" w:space="0" w:color="000000"/>
              <w:right w:val="outset" w:sz="6" w:space="0" w:color="000000"/>
            </w:tcBorders>
            <w:hideMark/>
          </w:tcPr>
          <w:p w14:paraId="63BF72AF" w14:textId="2D101CD4" w:rsidR="001E4890" w:rsidRPr="00632980" w:rsidRDefault="00DF7BAD" w:rsidP="000D3520">
            <w:pPr>
              <w:pStyle w:val="NormalWeb"/>
              <w:spacing w:before="0" w:beforeAutospacing="0" w:after="0" w:afterAutospacing="0"/>
              <w:rPr>
                <w:noProof/>
              </w:rPr>
            </w:pPr>
            <w:r w:rsidRPr="00632980">
              <w:rPr>
                <w:noProof/>
              </w:rPr>
              <w:lastRenderedPageBreak/>
              <w:t>3</w:t>
            </w:r>
            <w:r w:rsidR="001E4890" w:rsidRPr="00632980">
              <w:rPr>
                <w:noProof/>
              </w:rPr>
              <w:t>.</w:t>
            </w:r>
          </w:p>
        </w:tc>
        <w:tc>
          <w:tcPr>
            <w:tcW w:w="970" w:type="pct"/>
            <w:tcBorders>
              <w:top w:val="outset" w:sz="6" w:space="0" w:color="000000"/>
              <w:left w:val="outset" w:sz="6" w:space="0" w:color="000000"/>
              <w:bottom w:val="outset" w:sz="6" w:space="0" w:color="000000"/>
              <w:right w:val="outset" w:sz="6" w:space="0" w:color="000000"/>
            </w:tcBorders>
            <w:hideMark/>
          </w:tcPr>
          <w:p w14:paraId="63BF72B0" w14:textId="77777777" w:rsidR="001E4890" w:rsidRPr="00632980" w:rsidRDefault="001E4890" w:rsidP="000D3520">
            <w:pPr>
              <w:pStyle w:val="NormalWeb"/>
              <w:spacing w:before="0" w:beforeAutospacing="0" w:after="0" w:afterAutospacing="0"/>
              <w:rPr>
                <w:noProof/>
              </w:rPr>
            </w:pPr>
            <w:r w:rsidRPr="00632980">
              <w:rPr>
                <w:noProof/>
              </w:rPr>
              <w:t>Projekta izstrādē iesaistītās institūcijas</w:t>
            </w:r>
          </w:p>
        </w:tc>
        <w:tc>
          <w:tcPr>
            <w:tcW w:w="3673" w:type="pct"/>
            <w:tcBorders>
              <w:top w:val="outset" w:sz="6" w:space="0" w:color="000000"/>
              <w:left w:val="outset" w:sz="6" w:space="0" w:color="000000"/>
              <w:bottom w:val="outset" w:sz="6" w:space="0" w:color="000000"/>
              <w:right w:val="outset" w:sz="6" w:space="0" w:color="000000"/>
            </w:tcBorders>
            <w:hideMark/>
          </w:tcPr>
          <w:p w14:paraId="63BF72B1" w14:textId="36029F4B" w:rsidR="001E4890" w:rsidRPr="00632980" w:rsidRDefault="00D20594" w:rsidP="001570A6">
            <w:pPr>
              <w:pStyle w:val="NormalWeb"/>
              <w:spacing w:before="0" w:beforeAutospacing="0" w:after="0" w:afterAutospacing="0"/>
              <w:jc w:val="both"/>
              <w:rPr>
                <w:noProof/>
              </w:rPr>
            </w:pPr>
            <w:r w:rsidRPr="00632980">
              <w:rPr>
                <w:noProof/>
              </w:rPr>
              <w:t>Izložu un azartspēļu uzraudzības inspekcija</w:t>
            </w:r>
            <w:r w:rsidR="007D4A68" w:rsidRPr="00632980">
              <w:rPr>
                <w:noProof/>
              </w:rPr>
              <w:t>, Valsts ieņēmumu dienests</w:t>
            </w:r>
            <w:r w:rsidR="006B3E7B" w:rsidRPr="00632980">
              <w:rPr>
                <w:noProof/>
              </w:rPr>
              <w:t>.</w:t>
            </w:r>
          </w:p>
        </w:tc>
      </w:tr>
      <w:tr w:rsidR="00A22B1F" w:rsidRPr="00632980" w14:paraId="63BF72B6" w14:textId="77777777" w:rsidTr="0069144E">
        <w:tc>
          <w:tcPr>
            <w:tcW w:w="357" w:type="pct"/>
            <w:tcBorders>
              <w:top w:val="outset" w:sz="6" w:space="0" w:color="000000"/>
              <w:left w:val="outset" w:sz="6" w:space="0" w:color="000000"/>
              <w:bottom w:val="outset" w:sz="6" w:space="0" w:color="000000"/>
              <w:right w:val="outset" w:sz="6" w:space="0" w:color="000000"/>
            </w:tcBorders>
            <w:hideMark/>
          </w:tcPr>
          <w:p w14:paraId="63BF72B3" w14:textId="77777777" w:rsidR="001E4890" w:rsidRPr="00632980" w:rsidRDefault="00DF7BAD" w:rsidP="000D3520">
            <w:pPr>
              <w:pStyle w:val="NormalWeb"/>
              <w:spacing w:before="0" w:beforeAutospacing="0" w:after="0" w:afterAutospacing="0"/>
              <w:rPr>
                <w:noProof/>
              </w:rPr>
            </w:pPr>
            <w:r w:rsidRPr="00632980">
              <w:rPr>
                <w:noProof/>
              </w:rPr>
              <w:t>4</w:t>
            </w:r>
            <w:r w:rsidR="001E4890" w:rsidRPr="00632980">
              <w:rPr>
                <w:noProof/>
              </w:rPr>
              <w:t>.</w:t>
            </w:r>
          </w:p>
        </w:tc>
        <w:tc>
          <w:tcPr>
            <w:tcW w:w="970" w:type="pct"/>
            <w:tcBorders>
              <w:top w:val="outset" w:sz="6" w:space="0" w:color="000000"/>
              <w:left w:val="outset" w:sz="6" w:space="0" w:color="000000"/>
              <w:bottom w:val="outset" w:sz="6" w:space="0" w:color="000000"/>
              <w:right w:val="outset" w:sz="6" w:space="0" w:color="000000"/>
            </w:tcBorders>
            <w:hideMark/>
          </w:tcPr>
          <w:p w14:paraId="63BF72B4" w14:textId="77777777" w:rsidR="001E4890" w:rsidRPr="00632980" w:rsidRDefault="001E4890" w:rsidP="000D3520">
            <w:pPr>
              <w:pStyle w:val="NormalWeb"/>
              <w:spacing w:before="0" w:beforeAutospacing="0" w:after="0" w:afterAutospacing="0"/>
              <w:rPr>
                <w:noProof/>
              </w:rPr>
            </w:pPr>
            <w:r w:rsidRPr="00632980">
              <w:rPr>
                <w:noProof/>
              </w:rPr>
              <w:t>Cita informācija</w:t>
            </w:r>
          </w:p>
        </w:tc>
        <w:tc>
          <w:tcPr>
            <w:tcW w:w="3673" w:type="pct"/>
            <w:tcBorders>
              <w:top w:val="outset" w:sz="6" w:space="0" w:color="000000"/>
              <w:left w:val="outset" w:sz="6" w:space="0" w:color="000000"/>
              <w:bottom w:val="outset" w:sz="6" w:space="0" w:color="000000"/>
              <w:right w:val="outset" w:sz="6" w:space="0" w:color="000000"/>
            </w:tcBorders>
          </w:tcPr>
          <w:p w14:paraId="63BF72B5" w14:textId="77777777" w:rsidR="00701964" w:rsidRPr="00632980" w:rsidRDefault="00E768AB" w:rsidP="000D3520">
            <w:pPr>
              <w:pStyle w:val="NormalWeb"/>
              <w:spacing w:before="0" w:beforeAutospacing="0" w:after="0" w:afterAutospacing="0"/>
              <w:jc w:val="both"/>
              <w:rPr>
                <w:noProof/>
              </w:rPr>
            </w:pPr>
            <w:r w:rsidRPr="00632980">
              <w:rPr>
                <w:noProof/>
              </w:rPr>
              <w:t>Nav.</w:t>
            </w:r>
          </w:p>
        </w:tc>
      </w:tr>
    </w:tbl>
    <w:p w14:paraId="6B3738DC" w14:textId="408D3D51" w:rsidR="00D95716" w:rsidRPr="00632980" w:rsidRDefault="001E4890" w:rsidP="000D3520">
      <w:pPr>
        <w:pStyle w:val="NormalWeb"/>
        <w:spacing w:before="0" w:beforeAutospacing="0" w:after="0" w:afterAutospacing="0"/>
        <w:rPr>
          <w:noProof/>
        </w:rPr>
      </w:pPr>
      <w:r w:rsidRPr="00632980">
        <w:rPr>
          <w:noProof/>
        </w:rPr>
        <w:t> </w:t>
      </w:r>
    </w:p>
    <w:tbl>
      <w:tblPr>
        <w:tblW w:w="5480" w:type="pct"/>
        <w:tblInd w:w="-5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841"/>
        <w:gridCol w:w="3579"/>
        <w:gridCol w:w="5504"/>
      </w:tblGrid>
      <w:tr w:rsidR="00A22B1F" w:rsidRPr="00632980" w14:paraId="63BF72B9" w14:textId="77777777" w:rsidTr="0069144E">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63BF72B8" w14:textId="77777777" w:rsidR="001E4890" w:rsidRPr="00632980" w:rsidRDefault="001E4890" w:rsidP="000D3520">
            <w:pPr>
              <w:pStyle w:val="NormalWeb"/>
              <w:spacing w:before="0" w:beforeAutospacing="0" w:after="0" w:afterAutospacing="0"/>
              <w:jc w:val="center"/>
              <w:rPr>
                <w:b/>
                <w:bCs/>
                <w:noProof/>
              </w:rPr>
            </w:pPr>
            <w:r w:rsidRPr="00632980">
              <w:rPr>
                <w:b/>
                <w:bCs/>
                <w:noProof/>
              </w:rPr>
              <w:t>II. Tiesību akta projekta ietekme uz sabiedrību</w:t>
            </w:r>
            <w:r w:rsidR="00E459BB" w:rsidRPr="00632980">
              <w:rPr>
                <w:b/>
                <w:bCs/>
                <w:noProof/>
              </w:rPr>
              <w:t>, tautsaimniecības attīstību un administratīvo slogu</w:t>
            </w:r>
          </w:p>
        </w:tc>
      </w:tr>
      <w:tr w:rsidR="00A22B1F" w:rsidRPr="00632980" w14:paraId="63BF72BD" w14:textId="77777777" w:rsidTr="0069144E">
        <w:tc>
          <w:tcPr>
            <w:tcW w:w="424" w:type="pct"/>
            <w:tcBorders>
              <w:top w:val="outset" w:sz="6" w:space="0" w:color="000000"/>
              <w:left w:val="outset" w:sz="6" w:space="0" w:color="000000"/>
              <w:bottom w:val="outset" w:sz="6" w:space="0" w:color="000000"/>
              <w:right w:val="outset" w:sz="6" w:space="0" w:color="000000"/>
            </w:tcBorders>
            <w:hideMark/>
          </w:tcPr>
          <w:p w14:paraId="63BF72BA" w14:textId="77777777" w:rsidR="001E4890" w:rsidRPr="00632980" w:rsidRDefault="001E4890" w:rsidP="000D3520">
            <w:pPr>
              <w:pStyle w:val="NormalWeb"/>
              <w:spacing w:before="0" w:beforeAutospacing="0" w:after="0" w:afterAutospacing="0"/>
              <w:rPr>
                <w:noProof/>
              </w:rPr>
            </w:pPr>
            <w:r w:rsidRPr="00632980">
              <w:rPr>
                <w:noProof/>
              </w:rPr>
              <w:t>1.</w:t>
            </w:r>
          </w:p>
        </w:tc>
        <w:tc>
          <w:tcPr>
            <w:tcW w:w="1803" w:type="pct"/>
            <w:tcBorders>
              <w:top w:val="outset" w:sz="6" w:space="0" w:color="000000"/>
              <w:left w:val="outset" w:sz="6" w:space="0" w:color="000000"/>
              <w:bottom w:val="outset" w:sz="6" w:space="0" w:color="000000"/>
              <w:right w:val="outset" w:sz="6" w:space="0" w:color="000000"/>
            </w:tcBorders>
            <w:hideMark/>
          </w:tcPr>
          <w:p w14:paraId="63BF72BB" w14:textId="77777777" w:rsidR="001E4890" w:rsidRPr="00632980" w:rsidRDefault="001E4890" w:rsidP="000D3520">
            <w:pPr>
              <w:pStyle w:val="NormalWeb"/>
              <w:spacing w:before="0" w:beforeAutospacing="0" w:after="0" w:afterAutospacing="0"/>
              <w:rPr>
                <w:noProof/>
              </w:rPr>
            </w:pPr>
            <w:r w:rsidRPr="00632980">
              <w:rPr>
                <w:noProof/>
              </w:rPr>
              <w:t>Sabiedrības mērķgrupa</w:t>
            </w:r>
            <w:r w:rsidR="00E459BB" w:rsidRPr="00632980">
              <w:rPr>
                <w:noProof/>
              </w:rPr>
              <w:t>s, kuras tiesiskais regulējums ietekmē vai varētu ietekmēt</w:t>
            </w:r>
          </w:p>
        </w:tc>
        <w:tc>
          <w:tcPr>
            <w:tcW w:w="2773" w:type="pct"/>
            <w:tcBorders>
              <w:top w:val="outset" w:sz="6" w:space="0" w:color="000000"/>
              <w:left w:val="outset" w:sz="6" w:space="0" w:color="000000"/>
              <w:bottom w:val="outset" w:sz="6" w:space="0" w:color="000000"/>
              <w:right w:val="outset" w:sz="6" w:space="0" w:color="000000"/>
            </w:tcBorders>
            <w:hideMark/>
          </w:tcPr>
          <w:p w14:paraId="63BF72BC" w14:textId="298EA6BF" w:rsidR="003A3E26" w:rsidRPr="00632980" w:rsidRDefault="007D4A68" w:rsidP="0028080F">
            <w:pPr>
              <w:pStyle w:val="naiskr"/>
              <w:tabs>
                <w:tab w:val="left" w:pos="2628"/>
              </w:tabs>
              <w:spacing w:before="0" w:after="0"/>
              <w:jc w:val="both"/>
              <w:rPr>
                <w:noProof/>
              </w:rPr>
            </w:pPr>
            <w:r w:rsidRPr="00632980">
              <w:rPr>
                <w:noProof/>
              </w:rPr>
              <w:t xml:space="preserve">Kapitālsabiedrības, kas organizē azartspēles. Pašlaik Latvijā azartspēles organizē </w:t>
            </w:r>
            <w:r w:rsidR="0028080F" w:rsidRPr="00632980">
              <w:rPr>
                <w:noProof/>
              </w:rPr>
              <w:t>15</w:t>
            </w:r>
            <w:r w:rsidRPr="00632980">
              <w:rPr>
                <w:noProof/>
              </w:rPr>
              <w:t xml:space="preserve"> azartspēļu organizētāji.</w:t>
            </w:r>
            <w:r w:rsidR="0028080F" w:rsidRPr="00632980">
              <w:rPr>
                <w:noProof/>
              </w:rPr>
              <w:t xml:space="preserve"> </w:t>
            </w:r>
          </w:p>
        </w:tc>
      </w:tr>
      <w:tr w:rsidR="00A22B1F" w:rsidRPr="00632980" w14:paraId="63BF72C3" w14:textId="77777777" w:rsidTr="0069144E">
        <w:tc>
          <w:tcPr>
            <w:tcW w:w="424" w:type="pct"/>
            <w:tcBorders>
              <w:top w:val="outset" w:sz="6" w:space="0" w:color="000000"/>
              <w:left w:val="outset" w:sz="6" w:space="0" w:color="000000"/>
              <w:bottom w:val="outset" w:sz="6" w:space="0" w:color="000000"/>
              <w:right w:val="outset" w:sz="6" w:space="0" w:color="000000"/>
            </w:tcBorders>
            <w:hideMark/>
          </w:tcPr>
          <w:p w14:paraId="63BF72BE" w14:textId="77777777" w:rsidR="001E4890" w:rsidRPr="00632980" w:rsidRDefault="001E4890" w:rsidP="000D3520">
            <w:pPr>
              <w:pStyle w:val="NormalWeb"/>
              <w:spacing w:before="0" w:beforeAutospacing="0" w:after="0" w:afterAutospacing="0"/>
              <w:rPr>
                <w:noProof/>
              </w:rPr>
            </w:pPr>
            <w:r w:rsidRPr="00632980">
              <w:rPr>
                <w:noProof/>
              </w:rPr>
              <w:t>2.</w:t>
            </w:r>
          </w:p>
        </w:tc>
        <w:tc>
          <w:tcPr>
            <w:tcW w:w="1803" w:type="pct"/>
            <w:tcBorders>
              <w:top w:val="outset" w:sz="6" w:space="0" w:color="000000"/>
              <w:left w:val="outset" w:sz="6" w:space="0" w:color="000000"/>
              <w:bottom w:val="outset" w:sz="6" w:space="0" w:color="000000"/>
              <w:right w:val="outset" w:sz="6" w:space="0" w:color="000000"/>
            </w:tcBorders>
            <w:hideMark/>
          </w:tcPr>
          <w:p w14:paraId="63BF72BF" w14:textId="77777777" w:rsidR="001E4890" w:rsidRPr="00632980" w:rsidRDefault="00E459BB" w:rsidP="000D3520">
            <w:pPr>
              <w:pStyle w:val="NormalWeb"/>
              <w:spacing w:before="0" w:beforeAutospacing="0" w:after="0" w:afterAutospacing="0"/>
              <w:rPr>
                <w:noProof/>
                <w:spacing w:val="-4"/>
              </w:rPr>
            </w:pPr>
            <w:r w:rsidRPr="00632980">
              <w:rPr>
                <w:noProof/>
                <w:spacing w:val="-4"/>
              </w:rPr>
              <w:t>Tiesiskā regulējuma ietekme uz tautsaimniecību un administratīvo slogu</w:t>
            </w:r>
          </w:p>
        </w:tc>
        <w:tc>
          <w:tcPr>
            <w:tcW w:w="2773" w:type="pct"/>
            <w:tcBorders>
              <w:top w:val="outset" w:sz="6" w:space="0" w:color="000000"/>
              <w:left w:val="outset" w:sz="6" w:space="0" w:color="000000"/>
              <w:bottom w:val="outset" w:sz="6" w:space="0" w:color="000000"/>
              <w:right w:val="outset" w:sz="6" w:space="0" w:color="000000"/>
            </w:tcBorders>
            <w:hideMark/>
          </w:tcPr>
          <w:p w14:paraId="63BF72C2" w14:textId="6FE743DC" w:rsidR="007C454A" w:rsidRPr="00632980" w:rsidRDefault="00572A89">
            <w:pPr>
              <w:shd w:val="clear" w:color="auto" w:fill="FFFFFF"/>
              <w:jc w:val="both"/>
              <w:rPr>
                <w:noProof/>
              </w:rPr>
            </w:pPr>
            <w:r w:rsidRPr="00632980">
              <w:rPr>
                <w:noProof/>
              </w:rPr>
              <w:t>Nozares uzņēmumiem, palielinot azartspēļu nodokļa  likm</w:t>
            </w:r>
            <w:r w:rsidR="009830A2" w:rsidRPr="00632980">
              <w:rPr>
                <w:noProof/>
              </w:rPr>
              <w:t>es</w:t>
            </w:r>
            <w:r w:rsidRPr="00632980">
              <w:rPr>
                <w:noProof/>
              </w:rPr>
              <w:t xml:space="preserve"> apmēru</w:t>
            </w:r>
            <w:r w:rsidR="00F3605F" w:rsidRPr="00632980">
              <w:rPr>
                <w:noProof/>
              </w:rPr>
              <w:t xml:space="preserve"> un</w:t>
            </w:r>
            <w:r w:rsidR="00F3605F" w:rsidRPr="00632980">
              <w:rPr>
                <w:noProof/>
                <w:shd w:val="clear" w:color="auto" w:fill="FFFFFF"/>
              </w:rPr>
              <w:t xml:space="preserve"> mainot azartspēļu nodokļa ieņēmumu sadalījumu pa valsts un pašvaldību budžetiem,</w:t>
            </w:r>
            <w:r w:rsidRPr="00632980">
              <w:rPr>
                <w:noProof/>
              </w:rPr>
              <w:t xml:space="preserve"> administratīvais slogs nepalielinās.</w:t>
            </w:r>
          </w:p>
        </w:tc>
      </w:tr>
      <w:tr w:rsidR="00A22B1F" w:rsidRPr="00632980" w14:paraId="63BF72C7" w14:textId="77777777" w:rsidTr="0069144E">
        <w:tc>
          <w:tcPr>
            <w:tcW w:w="424" w:type="pct"/>
            <w:tcBorders>
              <w:top w:val="outset" w:sz="6" w:space="0" w:color="000000"/>
              <w:left w:val="outset" w:sz="6" w:space="0" w:color="000000"/>
              <w:bottom w:val="outset" w:sz="6" w:space="0" w:color="000000"/>
              <w:right w:val="outset" w:sz="6" w:space="0" w:color="000000"/>
            </w:tcBorders>
            <w:hideMark/>
          </w:tcPr>
          <w:p w14:paraId="63BF72C4" w14:textId="77777777" w:rsidR="001E4890" w:rsidRPr="00632980" w:rsidRDefault="001E4890" w:rsidP="000D3520">
            <w:pPr>
              <w:pStyle w:val="NormalWeb"/>
              <w:spacing w:before="0" w:beforeAutospacing="0" w:after="0" w:afterAutospacing="0"/>
              <w:rPr>
                <w:noProof/>
              </w:rPr>
            </w:pPr>
            <w:r w:rsidRPr="00632980">
              <w:rPr>
                <w:noProof/>
              </w:rPr>
              <w:t>3.</w:t>
            </w:r>
          </w:p>
        </w:tc>
        <w:tc>
          <w:tcPr>
            <w:tcW w:w="1803" w:type="pct"/>
            <w:tcBorders>
              <w:top w:val="outset" w:sz="6" w:space="0" w:color="000000"/>
              <w:left w:val="outset" w:sz="6" w:space="0" w:color="000000"/>
              <w:bottom w:val="outset" w:sz="6" w:space="0" w:color="000000"/>
              <w:right w:val="outset" w:sz="6" w:space="0" w:color="000000"/>
            </w:tcBorders>
            <w:hideMark/>
          </w:tcPr>
          <w:p w14:paraId="63BF72C5" w14:textId="77777777" w:rsidR="001E4890" w:rsidRPr="00632980" w:rsidRDefault="00E459BB" w:rsidP="000D3520">
            <w:pPr>
              <w:pStyle w:val="NormalWeb"/>
              <w:spacing w:before="0" w:beforeAutospacing="0" w:after="0" w:afterAutospacing="0"/>
              <w:rPr>
                <w:noProof/>
              </w:rPr>
            </w:pPr>
            <w:r w:rsidRPr="00632980">
              <w:rPr>
                <w:noProof/>
              </w:rPr>
              <w:t>Administratīvo izmaksu monetārs novērtējums</w:t>
            </w:r>
          </w:p>
        </w:tc>
        <w:tc>
          <w:tcPr>
            <w:tcW w:w="2773" w:type="pct"/>
            <w:tcBorders>
              <w:top w:val="outset" w:sz="6" w:space="0" w:color="000000"/>
              <w:left w:val="outset" w:sz="6" w:space="0" w:color="000000"/>
              <w:bottom w:val="outset" w:sz="6" w:space="0" w:color="000000"/>
              <w:right w:val="outset" w:sz="6" w:space="0" w:color="000000"/>
            </w:tcBorders>
            <w:hideMark/>
          </w:tcPr>
          <w:p w14:paraId="63BF72C6" w14:textId="5BA31E97" w:rsidR="004912EA" w:rsidRPr="00632980" w:rsidRDefault="001469CE" w:rsidP="000D3520">
            <w:pPr>
              <w:pStyle w:val="NormalWeb"/>
              <w:spacing w:before="0" w:beforeAutospacing="0" w:after="0" w:afterAutospacing="0"/>
              <w:jc w:val="both"/>
              <w:rPr>
                <w:noProof/>
              </w:rPr>
            </w:pPr>
            <w:r w:rsidRPr="00632980">
              <w:rPr>
                <w:noProof/>
              </w:rPr>
              <w:t>P</w:t>
            </w:r>
            <w:r w:rsidR="005061F2" w:rsidRPr="00632980">
              <w:rPr>
                <w:noProof/>
              </w:rPr>
              <w:t>rojekts</w:t>
            </w:r>
            <w:r w:rsidR="00E7459F" w:rsidRPr="00632980">
              <w:rPr>
                <w:noProof/>
              </w:rPr>
              <w:t xml:space="preserve"> šo jomu neskar</w:t>
            </w:r>
            <w:r w:rsidR="00E459BB" w:rsidRPr="00632980">
              <w:rPr>
                <w:noProof/>
              </w:rPr>
              <w:t>.</w:t>
            </w:r>
          </w:p>
        </w:tc>
      </w:tr>
      <w:tr w:rsidR="00A22B1F" w:rsidRPr="00632980" w14:paraId="63BF72CB" w14:textId="77777777" w:rsidTr="0069144E">
        <w:tc>
          <w:tcPr>
            <w:tcW w:w="424" w:type="pct"/>
            <w:tcBorders>
              <w:top w:val="outset" w:sz="6" w:space="0" w:color="000000"/>
              <w:left w:val="outset" w:sz="6" w:space="0" w:color="000000"/>
              <w:bottom w:val="outset" w:sz="6" w:space="0" w:color="000000"/>
              <w:right w:val="outset" w:sz="6" w:space="0" w:color="000000"/>
            </w:tcBorders>
            <w:hideMark/>
          </w:tcPr>
          <w:p w14:paraId="63BF72C8" w14:textId="77777777" w:rsidR="001E4890" w:rsidRPr="00632980" w:rsidRDefault="00E459BB" w:rsidP="000D3520">
            <w:pPr>
              <w:pStyle w:val="NormalWeb"/>
              <w:spacing w:before="0" w:beforeAutospacing="0" w:after="0" w:afterAutospacing="0"/>
              <w:rPr>
                <w:noProof/>
              </w:rPr>
            </w:pPr>
            <w:r w:rsidRPr="00632980">
              <w:rPr>
                <w:noProof/>
              </w:rPr>
              <w:t>4</w:t>
            </w:r>
            <w:r w:rsidR="001E4890" w:rsidRPr="00632980">
              <w:rPr>
                <w:noProof/>
              </w:rPr>
              <w:t>.</w:t>
            </w:r>
          </w:p>
        </w:tc>
        <w:tc>
          <w:tcPr>
            <w:tcW w:w="1803" w:type="pct"/>
            <w:tcBorders>
              <w:top w:val="outset" w:sz="6" w:space="0" w:color="000000"/>
              <w:left w:val="outset" w:sz="6" w:space="0" w:color="000000"/>
              <w:bottom w:val="outset" w:sz="6" w:space="0" w:color="000000"/>
              <w:right w:val="outset" w:sz="6" w:space="0" w:color="000000"/>
            </w:tcBorders>
            <w:hideMark/>
          </w:tcPr>
          <w:p w14:paraId="63BF72C9" w14:textId="77777777" w:rsidR="001E4890" w:rsidRPr="00632980" w:rsidRDefault="001E4890" w:rsidP="000D3520">
            <w:pPr>
              <w:pStyle w:val="NormalWeb"/>
              <w:spacing w:before="0" w:beforeAutospacing="0" w:after="0" w:afterAutospacing="0"/>
              <w:rPr>
                <w:noProof/>
              </w:rPr>
            </w:pPr>
            <w:r w:rsidRPr="00632980">
              <w:rPr>
                <w:noProof/>
              </w:rPr>
              <w:t>Cita informācija</w:t>
            </w:r>
          </w:p>
        </w:tc>
        <w:tc>
          <w:tcPr>
            <w:tcW w:w="2773" w:type="pct"/>
            <w:tcBorders>
              <w:top w:val="outset" w:sz="6" w:space="0" w:color="000000"/>
              <w:left w:val="outset" w:sz="6" w:space="0" w:color="000000"/>
              <w:bottom w:val="outset" w:sz="6" w:space="0" w:color="000000"/>
              <w:right w:val="outset" w:sz="6" w:space="0" w:color="000000"/>
            </w:tcBorders>
            <w:hideMark/>
          </w:tcPr>
          <w:p w14:paraId="63BF72CA" w14:textId="77777777" w:rsidR="001E4890" w:rsidRPr="00632980" w:rsidRDefault="001E4890" w:rsidP="000D3520">
            <w:pPr>
              <w:pStyle w:val="NormalWeb"/>
              <w:spacing w:before="0" w:beforeAutospacing="0" w:after="0" w:afterAutospacing="0"/>
              <w:rPr>
                <w:noProof/>
              </w:rPr>
            </w:pPr>
            <w:r w:rsidRPr="00632980">
              <w:rPr>
                <w:noProof/>
              </w:rPr>
              <w:t>Nav</w:t>
            </w:r>
            <w:r w:rsidR="0026359B" w:rsidRPr="00632980">
              <w:rPr>
                <w:noProof/>
              </w:rPr>
              <w:t>.</w:t>
            </w:r>
          </w:p>
        </w:tc>
      </w:tr>
    </w:tbl>
    <w:p w14:paraId="4F463EE5" w14:textId="5182F66A" w:rsidR="00A5722C" w:rsidRPr="00632980" w:rsidRDefault="00A5722C" w:rsidP="000D3520">
      <w:pPr>
        <w:rPr>
          <w:noProof/>
        </w:rPr>
      </w:pPr>
    </w:p>
    <w:tbl>
      <w:tblPr>
        <w:tblW w:w="5476" w:type="pct"/>
        <w:tblInd w:w="-572" w:type="dxa"/>
        <w:tblLayout w:type="fixed"/>
        <w:tblCellMar>
          <w:top w:w="30" w:type="dxa"/>
          <w:left w:w="30" w:type="dxa"/>
          <w:bottom w:w="30" w:type="dxa"/>
          <w:right w:w="30" w:type="dxa"/>
        </w:tblCellMar>
        <w:tblLook w:val="0000" w:firstRow="0" w:lastRow="0" w:firstColumn="0" w:lastColumn="0" w:noHBand="0" w:noVBand="0"/>
      </w:tblPr>
      <w:tblGrid>
        <w:gridCol w:w="1704"/>
        <w:gridCol w:w="1131"/>
        <w:gridCol w:w="993"/>
        <w:gridCol w:w="1134"/>
        <w:gridCol w:w="1275"/>
        <w:gridCol w:w="1134"/>
        <w:gridCol w:w="1276"/>
        <w:gridCol w:w="1277"/>
      </w:tblGrid>
      <w:tr w:rsidR="0069144E" w:rsidRPr="0094211C" w14:paraId="42EF9751" w14:textId="77777777" w:rsidTr="0069144E">
        <w:trPr>
          <w:trHeight w:val="252"/>
        </w:trPr>
        <w:tc>
          <w:tcPr>
            <w:tcW w:w="99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D45C8E" w14:textId="77777777" w:rsidR="00105D9D" w:rsidRPr="0094211C" w:rsidRDefault="00105D9D" w:rsidP="004E7C73">
            <w:pPr>
              <w:jc w:val="center"/>
              <w:rPr>
                <w:rFonts w:eastAsia="Calibri"/>
                <w:b/>
                <w:bCs/>
                <w:noProof/>
              </w:rPr>
            </w:pPr>
            <w:r w:rsidRPr="0094211C">
              <w:rPr>
                <w:b/>
                <w:bCs/>
                <w:noProof/>
              </w:rPr>
              <w:t>III. Tiesību akta projekta ietekme uz valsts budžetu un pašvaldību budžetiem</w:t>
            </w:r>
          </w:p>
        </w:tc>
      </w:tr>
      <w:tr w:rsidR="0069144E" w:rsidRPr="0094211C" w14:paraId="2EDF8C44" w14:textId="77777777" w:rsidTr="0069144E">
        <w:trPr>
          <w:trHeight w:val="294"/>
        </w:trPr>
        <w:tc>
          <w:tcPr>
            <w:tcW w:w="1704" w:type="dxa"/>
            <w:vMerge w:val="restart"/>
            <w:tcBorders>
              <w:top w:val="single" w:sz="4" w:space="0" w:color="auto"/>
              <w:left w:val="single" w:sz="4" w:space="0" w:color="000000"/>
              <w:bottom w:val="single" w:sz="4" w:space="0" w:color="000000"/>
            </w:tcBorders>
            <w:shd w:val="clear" w:color="auto" w:fill="auto"/>
            <w:vAlign w:val="center"/>
          </w:tcPr>
          <w:p w14:paraId="7C8CCF32" w14:textId="77777777" w:rsidR="00105D9D" w:rsidRPr="0094211C" w:rsidRDefault="00105D9D" w:rsidP="004E7C73">
            <w:pPr>
              <w:rPr>
                <w:rFonts w:eastAsia="Calibri"/>
                <w:noProof/>
              </w:rPr>
            </w:pPr>
            <w:r w:rsidRPr="0094211C">
              <w:rPr>
                <w:noProof/>
              </w:rPr>
              <w:t>Rādītāji</w:t>
            </w:r>
          </w:p>
        </w:tc>
        <w:tc>
          <w:tcPr>
            <w:tcW w:w="2124" w:type="dxa"/>
            <w:gridSpan w:val="2"/>
            <w:vMerge w:val="restart"/>
            <w:tcBorders>
              <w:top w:val="single" w:sz="4" w:space="0" w:color="auto"/>
              <w:left w:val="single" w:sz="4" w:space="0" w:color="000000"/>
              <w:bottom w:val="single" w:sz="4" w:space="0" w:color="000000"/>
            </w:tcBorders>
            <w:shd w:val="clear" w:color="auto" w:fill="auto"/>
            <w:tcMar>
              <w:top w:w="0" w:type="dxa"/>
              <w:left w:w="0" w:type="dxa"/>
              <w:bottom w:w="0" w:type="dxa"/>
              <w:right w:w="0" w:type="dxa"/>
            </w:tcMar>
            <w:vAlign w:val="center"/>
          </w:tcPr>
          <w:p w14:paraId="40F5AA06" w14:textId="77777777" w:rsidR="00105D9D" w:rsidRPr="0094211C" w:rsidRDefault="00105D9D" w:rsidP="004E7C73">
            <w:pPr>
              <w:rPr>
                <w:rFonts w:eastAsia="Calibri"/>
                <w:noProof/>
              </w:rPr>
            </w:pPr>
            <w:r w:rsidRPr="0094211C">
              <w:rPr>
                <w:noProof/>
              </w:rPr>
              <w:t>2019</w:t>
            </w:r>
          </w:p>
        </w:tc>
        <w:tc>
          <w:tcPr>
            <w:tcW w:w="6096"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888192" w14:textId="77777777" w:rsidR="00105D9D" w:rsidRPr="0094211C" w:rsidRDefault="00105D9D" w:rsidP="004E7C73">
            <w:pPr>
              <w:rPr>
                <w:rFonts w:eastAsia="Calibri"/>
                <w:noProof/>
              </w:rPr>
            </w:pPr>
            <w:r w:rsidRPr="0094211C">
              <w:rPr>
                <w:noProof/>
              </w:rPr>
              <w:t>Turpmākie trīs gadi (</w:t>
            </w:r>
            <w:r w:rsidRPr="0094211C">
              <w:rPr>
                <w:i/>
                <w:iCs/>
                <w:noProof/>
              </w:rPr>
              <w:t>euro</w:t>
            </w:r>
            <w:r w:rsidRPr="0094211C">
              <w:rPr>
                <w:noProof/>
              </w:rPr>
              <w:t>)</w:t>
            </w:r>
          </w:p>
        </w:tc>
      </w:tr>
      <w:tr w:rsidR="0069144E" w:rsidRPr="0094211C" w14:paraId="19645548" w14:textId="77777777" w:rsidTr="0069144E">
        <w:trPr>
          <w:trHeight w:val="294"/>
        </w:trPr>
        <w:tc>
          <w:tcPr>
            <w:tcW w:w="1704" w:type="dxa"/>
            <w:vMerge/>
            <w:tcBorders>
              <w:top w:val="single" w:sz="4" w:space="0" w:color="000000"/>
              <w:left w:val="single" w:sz="4" w:space="0" w:color="000000"/>
              <w:bottom w:val="single" w:sz="4" w:space="0" w:color="000000"/>
            </w:tcBorders>
            <w:shd w:val="clear" w:color="auto" w:fill="auto"/>
            <w:vAlign w:val="center"/>
          </w:tcPr>
          <w:p w14:paraId="5114D874" w14:textId="77777777" w:rsidR="00105D9D" w:rsidRPr="0094211C" w:rsidRDefault="00105D9D" w:rsidP="004E7C73">
            <w:pPr>
              <w:snapToGrid w:val="0"/>
              <w:rPr>
                <w:rFonts w:eastAsia="Calibri"/>
                <w:noProof/>
              </w:rPr>
            </w:pPr>
          </w:p>
        </w:tc>
        <w:tc>
          <w:tcPr>
            <w:tcW w:w="2124" w:type="dxa"/>
            <w:gridSpan w:val="2"/>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7C0CC7C" w14:textId="77777777" w:rsidR="00105D9D" w:rsidRPr="0094211C" w:rsidRDefault="00105D9D" w:rsidP="004E7C73">
            <w:pPr>
              <w:snapToGrid w:val="0"/>
              <w:rPr>
                <w:rFonts w:eastAsia="Calibri"/>
                <w:noProof/>
              </w:rPr>
            </w:pPr>
          </w:p>
        </w:tc>
        <w:tc>
          <w:tcPr>
            <w:tcW w:w="2409" w:type="dxa"/>
            <w:gridSpan w:val="2"/>
            <w:tcBorders>
              <w:top w:val="single" w:sz="4" w:space="0" w:color="000000"/>
              <w:left w:val="single" w:sz="4" w:space="0" w:color="000000"/>
              <w:bottom w:val="single" w:sz="4" w:space="0" w:color="000000"/>
            </w:tcBorders>
            <w:shd w:val="clear" w:color="auto" w:fill="auto"/>
            <w:vAlign w:val="center"/>
          </w:tcPr>
          <w:p w14:paraId="2A716B91" w14:textId="77777777" w:rsidR="00105D9D" w:rsidRPr="0094211C" w:rsidRDefault="00105D9D" w:rsidP="004E7C73">
            <w:pPr>
              <w:rPr>
                <w:rFonts w:eastAsia="Calibri"/>
                <w:noProof/>
              </w:rPr>
            </w:pPr>
            <w:r w:rsidRPr="0094211C">
              <w:rPr>
                <w:noProof/>
              </w:rPr>
              <w:t>2020</w:t>
            </w:r>
          </w:p>
        </w:tc>
        <w:tc>
          <w:tcPr>
            <w:tcW w:w="241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386E32" w14:textId="77777777" w:rsidR="00105D9D" w:rsidRPr="0094211C" w:rsidRDefault="00105D9D" w:rsidP="004E7C73">
            <w:pPr>
              <w:rPr>
                <w:rFonts w:eastAsia="Calibri"/>
                <w:noProof/>
              </w:rPr>
            </w:pPr>
            <w:r w:rsidRPr="0094211C">
              <w:rPr>
                <w:noProof/>
              </w:rPr>
              <w:t>2021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E849CE" w14:textId="77777777" w:rsidR="00105D9D" w:rsidRPr="0094211C" w:rsidRDefault="00105D9D" w:rsidP="004E7C73">
            <w:pPr>
              <w:rPr>
                <w:rFonts w:eastAsia="Calibri"/>
                <w:noProof/>
              </w:rPr>
            </w:pPr>
            <w:r w:rsidRPr="0094211C">
              <w:rPr>
                <w:noProof/>
              </w:rPr>
              <w:t>2022</w:t>
            </w:r>
          </w:p>
        </w:tc>
      </w:tr>
      <w:tr w:rsidR="0069144E" w:rsidRPr="0094211C" w14:paraId="38D73EA4" w14:textId="77777777" w:rsidTr="0069144E">
        <w:trPr>
          <w:trHeight w:val="294"/>
        </w:trPr>
        <w:tc>
          <w:tcPr>
            <w:tcW w:w="1704" w:type="dxa"/>
            <w:vMerge/>
            <w:tcBorders>
              <w:top w:val="single" w:sz="4" w:space="0" w:color="000000"/>
              <w:left w:val="single" w:sz="4" w:space="0" w:color="000000"/>
              <w:bottom w:val="single" w:sz="4" w:space="0" w:color="000000"/>
            </w:tcBorders>
            <w:shd w:val="clear" w:color="auto" w:fill="auto"/>
            <w:vAlign w:val="center"/>
          </w:tcPr>
          <w:p w14:paraId="39285EEF" w14:textId="77777777" w:rsidR="00105D9D" w:rsidRPr="0094211C" w:rsidRDefault="00105D9D" w:rsidP="004E7C73">
            <w:pPr>
              <w:snapToGrid w:val="0"/>
              <w:rPr>
                <w:rFonts w:eastAsia="Calibri"/>
                <w:noProof/>
              </w:rPr>
            </w:pPr>
          </w:p>
        </w:tc>
        <w:tc>
          <w:tcPr>
            <w:tcW w:w="1131" w:type="dxa"/>
            <w:tcBorders>
              <w:top w:val="single" w:sz="4" w:space="0" w:color="000000"/>
              <w:left w:val="single" w:sz="4" w:space="0" w:color="000000"/>
              <w:bottom w:val="single" w:sz="4" w:space="0" w:color="000000"/>
            </w:tcBorders>
            <w:shd w:val="clear" w:color="auto" w:fill="auto"/>
            <w:vAlign w:val="center"/>
          </w:tcPr>
          <w:p w14:paraId="5CCEBE01" w14:textId="77777777" w:rsidR="00105D9D" w:rsidRPr="0094211C" w:rsidRDefault="00105D9D" w:rsidP="004E7C73">
            <w:pPr>
              <w:rPr>
                <w:rFonts w:eastAsia="Calibri"/>
                <w:noProof/>
              </w:rPr>
            </w:pPr>
            <w:r w:rsidRPr="0094211C">
              <w:rPr>
                <w:noProof/>
              </w:rPr>
              <w:t>saskaņā ar valsts budžetu kārtējam gadam</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25C1BA3" w14:textId="77777777" w:rsidR="00105D9D" w:rsidRPr="0094211C" w:rsidRDefault="00105D9D" w:rsidP="004E7C73">
            <w:pPr>
              <w:rPr>
                <w:rFonts w:eastAsia="Calibri"/>
                <w:noProof/>
              </w:rPr>
            </w:pPr>
            <w:r w:rsidRPr="003237EC">
              <w:rPr>
                <w:rFonts w:eastAsia="Calibri"/>
                <w:noProof/>
              </w:rPr>
              <w:t>izmaiņas kārtējā gadā, salīdzinot ar valsts budžetu kārtējam gadam</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9CE594" w14:textId="77777777" w:rsidR="00105D9D" w:rsidRPr="0094211C" w:rsidRDefault="00105D9D" w:rsidP="004E7C73">
            <w:pPr>
              <w:rPr>
                <w:rFonts w:eastAsia="Calibri"/>
                <w:noProof/>
              </w:rPr>
            </w:pPr>
            <w:r w:rsidRPr="0094211C">
              <w:rPr>
                <w:noProof/>
              </w:rPr>
              <w:t>saskaņā ar vidēja termiņa budžeta ietvaru</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8201C6E" w14:textId="77777777" w:rsidR="00105D9D" w:rsidRPr="0094211C" w:rsidRDefault="00105D9D" w:rsidP="004E7C73">
            <w:pPr>
              <w:rPr>
                <w:rFonts w:eastAsia="Calibri"/>
                <w:noProof/>
              </w:rPr>
            </w:pPr>
            <w:r w:rsidRPr="0094211C">
              <w:rPr>
                <w:noProof/>
              </w:rPr>
              <w:t xml:space="preserve">izmaiņas, salīdzinot ar vidēja termiņa budžeta ietvaru  </w:t>
            </w:r>
            <w:r>
              <w:rPr>
                <w:noProof/>
              </w:rPr>
              <w:t xml:space="preserve">2020. </w:t>
            </w:r>
            <w:r w:rsidRPr="0094211C">
              <w:rPr>
                <w:noProof/>
              </w:rPr>
              <w:t>gadam</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2EFAB9D" w14:textId="77777777" w:rsidR="00105D9D" w:rsidRPr="0094211C" w:rsidRDefault="00105D9D" w:rsidP="004E7C73">
            <w:pPr>
              <w:rPr>
                <w:rFonts w:eastAsia="Calibri"/>
                <w:noProof/>
              </w:rPr>
            </w:pPr>
            <w:r w:rsidRPr="0094211C">
              <w:rPr>
                <w:noProof/>
              </w:rPr>
              <w:t>saskaņā ar vidēja termiņa budžeta ietvaru</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975F0E" w14:textId="77777777" w:rsidR="00105D9D" w:rsidRPr="0094211C" w:rsidRDefault="00105D9D" w:rsidP="004E7C73">
            <w:pPr>
              <w:rPr>
                <w:rFonts w:eastAsia="Calibri"/>
                <w:noProof/>
              </w:rPr>
            </w:pPr>
            <w:r w:rsidRPr="0094211C">
              <w:rPr>
                <w:noProof/>
              </w:rPr>
              <w:t xml:space="preserve">izmaiņas, salīdzinot ar vidēja termiņa budžeta ietvaru </w:t>
            </w:r>
            <w:r>
              <w:rPr>
                <w:noProof/>
              </w:rPr>
              <w:t xml:space="preserve"> 2021.</w:t>
            </w:r>
            <w:r w:rsidRPr="0094211C">
              <w:rPr>
                <w:noProof/>
              </w:rPr>
              <w:t xml:space="preserve"> gadam</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267EB2" w14:textId="77777777" w:rsidR="00105D9D" w:rsidRPr="0094211C" w:rsidRDefault="00105D9D" w:rsidP="004E7C73">
            <w:pPr>
              <w:rPr>
                <w:rFonts w:eastAsia="Calibri"/>
                <w:noProof/>
              </w:rPr>
            </w:pPr>
            <w:r w:rsidRPr="0094211C">
              <w:rPr>
                <w:noProof/>
              </w:rPr>
              <w:t xml:space="preserve">izmaiņas, salīdzinot ar vidēja termiņa budžeta ietvaru </w:t>
            </w:r>
            <w:r>
              <w:rPr>
                <w:noProof/>
              </w:rPr>
              <w:t xml:space="preserve"> 2021.</w:t>
            </w:r>
            <w:r w:rsidRPr="0094211C">
              <w:rPr>
                <w:noProof/>
              </w:rPr>
              <w:t xml:space="preserve"> gadam</w:t>
            </w:r>
          </w:p>
        </w:tc>
      </w:tr>
      <w:tr w:rsidR="0069144E" w:rsidRPr="0094211C" w14:paraId="3E1F83B7" w14:textId="77777777" w:rsidTr="0069144E">
        <w:trPr>
          <w:trHeight w:val="252"/>
        </w:trPr>
        <w:tc>
          <w:tcPr>
            <w:tcW w:w="1704" w:type="dxa"/>
            <w:tcBorders>
              <w:top w:val="single" w:sz="4" w:space="0" w:color="000000"/>
              <w:left w:val="single" w:sz="4" w:space="0" w:color="000000"/>
              <w:bottom w:val="single" w:sz="4" w:space="0" w:color="000000"/>
            </w:tcBorders>
            <w:shd w:val="clear" w:color="auto" w:fill="auto"/>
            <w:vAlign w:val="center"/>
          </w:tcPr>
          <w:p w14:paraId="348AFA76" w14:textId="77777777" w:rsidR="00105D9D" w:rsidRPr="0094211C" w:rsidRDefault="00105D9D" w:rsidP="004E7C73">
            <w:pPr>
              <w:rPr>
                <w:rFonts w:eastAsia="Calibri"/>
                <w:noProof/>
              </w:rPr>
            </w:pPr>
            <w:r w:rsidRPr="0094211C">
              <w:rPr>
                <w:noProof/>
              </w:rPr>
              <w:t>1</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2B75563" w14:textId="77777777" w:rsidR="00105D9D" w:rsidRPr="0094211C" w:rsidRDefault="00105D9D" w:rsidP="004E7C73">
            <w:pPr>
              <w:rPr>
                <w:rFonts w:eastAsia="Calibri"/>
                <w:noProof/>
              </w:rPr>
            </w:pPr>
            <w:r w:rsidRPr="0094211C">
              <w:rPr>
                <w:noProof/>
              </w:rPr>
              <w:t>2</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E538C9B" w14:textId="77777777" w:rsidR="00105D9D" w:rsidRPr="0094211C" w:rsidRDefault="00105D9D" w:rsidP="004E7C73">
            <w:pPr>
              <w:rPr>
                <w:rFonts w:eastAsia="Calibri"/>
                <w:noProof/>
              </w:rPr>
            </w:pPr>
            <w:r w:rsidRPr="0094211C">
              <w:rPr>
                <w:noProof/>
              </w:rPr>
              <w:t>3</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64607C0" w14:textId="77777777" w:rsidR="00105D9D" w:rsidRPr="0094211C" w:rsidRDefault="00105D9D" w:rsidP="004E7C73">
            <w:pPr>
              <w:rPr>
                <w:rFonts w:eastAsia="Calibri"/>
                <w:noProof/>
              </w:rPr>
            </w:pPr>
            <w:r w:rsidRPr="0094211C">
              <w:rPr>
                <w:noProof/>
              </w:rPr>
              <w:t>4</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A42ABE" w14:textId="77777777" w:rsidR="00105D9D" w:rsidRPr="0094211C" w:rsidRDefault="00105D9D" w:rsidP="004E7C73">
            <w:pPr>
              <w:rPr>
                <w:rFonts w:eastAsia="Calibri"/>
                <w:noProof/>
              </w:rPr>
            </w:pPr>
            <w:r w:rsidRPr="0094211C">
              <w:rPr>
                <w:noProof/>
              </w:rPr>
              <w:t>5</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0087445" w14:textId="77777777" w:rsidR="00105D9D" w:rsidRPr="0094211C" w:rsidRDefault="00105D9D" w:rsidP="004E7C73">
            <w:pPr>
              <w:rPr>
                <w:rFonts w:eastAsia="Calibri"/>
                <w:noProof/>
              </w:rPr>
            </w:pPr>
            <w:r w:rsidRPr="0094211C">
              <w:rPr>
                <w:noProof/>
              </w:rPr>
              <w:t>6</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F614C37" w14:textId="77777777" w:rsidR="00105D9D" w:rsidRPr="0094211C" w:rsidRDefault="00105D9D" w:rsidP="004E7C73">
            <w:pPr>
              <w:rPr>
                <w:rFonts w:eastAsia="Calibri"/>
                <w:noProof/>
              </w:rPr>
            </w:pPr>
            <w:r w:rsidRPr="0094211C">
              <w:rPr>
                <w:noProof/>
              </w:rPr>
              <w:t>7</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B5A8F4" w14:textId="77777777" w:rsidR="00105D9D" w:rsidRPr="0094211C" w:rsidRDefault="00105D9D" w:rsidP="004E7C73">
            <w:pPr>
              <w:rPr>
                <w:rFonts w:eastAsia="Calibri"/>
                <w:noProof/>
              </w:rPr>
            </w:pPr>
            <w:r w:rsidRPr="0094211C">
              <w:rPr>
                <w:noProof/>
              </w:rPr>
              <w:t>8</w:t>
            </w:r>
          </w:p>
        </w:tc>
      </w:tr>
      <w:tr w:rsidR="0069144E" w:rsidRPr="0094211C" w14:paraId="29D1DDE1" w14:textId="77777777" w:rsidTr="0069144E">
        <w:trPr>
          <w:trHeight w:val="504"/>
        </w:trPr>
        <w:tc>
          <w:tcPr>
            <w:tcW w:w="1704" w:type="dxa"/>
            <w:tcBorders>
              <w:top w:val="single" w:sz="4" w:space="0" w:color="000000"/>
              <w:left w:val="single" w:sz="4" w:space="0" w:color="000000"/>
              <w:bottom w:val="single" w:sz="4" w:space="0" w:color="000000"/>
            </w:tcBorders>
            <w:shd w:val="clear" w:color="auto" w:fill="auto"/>
          </w:tcPr>
          <w:p w14:paraId="5A0CCCAF" w14:textId="77777777" w:rsidR="00105D9D" w:rsidRPr="0094211C" w:rsidRDefault="00105D9D" w:rsidP="004E7C73">
            <w:pPr>
              <w:rPr>
                <w:rFonts w:eastAsia="Calibri"/>
                <w:noProof/>
              </w:rPr>
            </w:pPr>
            <w:r w:rsidRPr="0094211C">
              <w:rPr>
                <w:noProof/>
              </w:rPr>
              <w:t>1. Budžeta ieņēmumi</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815412C" w14:textId="77777777" w:rsidR="00105D9D" w:rsidRPr="0094211C" w:rsidRDefault="00105D9D" w:rsidP="004E7C73">
            <w:pPr>
              <w:jc w:val="center"/>
              <w:rPr>
                <w:rFonts w:eastAsia="Calibri"/>
                <w:noProof/>
              </w:rPr>
            </w:pPr>
            <w:r w:rsidRPr="0094211C">
              <w:rPr>
                <w:noProof/>
              </w:rPr>
              <w:t>46 300 000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2720888" w14:textId="77777777" w:rsidR="00105D9D" w:rsidRPr="0094211C" w:rsidRDefault="00105D9D" w:rsidP="004E7C73">
            <w:pPr>
              <w:jc w:val="center"/>
              <w:rPr>
                <w:rFonts w:eastAsia="Calibri"/>
                <w:noProof/>
              </w:rPr>
            </w:pPr>
            <w:r>
              <w:rPr>
                <w:rFonts w:eastAsia="Calibri"/>
                <w:noProof/>
              </w:rPr>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BBE1131" w14:textId="77777777" w:rsidR="00105D9D" w:rsidRPr="0094211C" w:rsidRDefault="00105D9D" w:rsidP="004E7C73">
            <w:pPr>
              <w:jc w:val="center"/>
              <w:rPr>
                <w:rFonts w:eastAsia="Calibri"/>
                <w:noProof/>
              </w:rPr>
            </w:pPr>
            <w:r w:rsidRPr="0094211C">
              <w:rPr>
                <w:noProof/>
              </w:rPr>
              <w:t>47 300 000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A638BB" w14:textId="77777777" w:rsidR="00105D9D" w:rsidRPr="0094211C" w:rsidRDefault="00105D9D" w:rsidP="004E7C73">
            <w:pPr>
              <w:jc w:val="center"/>
              <w:rPr>
                <w:rFonts w:eastAsia="Calibri"/>
                <w:noProof/>
              </w:rPr>
            </w:pPr>
            <w:r w:rsidRPr="0094211C">
              <w:rPr>
                <w:noProof/>
              </w:rPr>
              <w:t>13 413 000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4DB0CB1" w14:textId="77777777" w:rsidR="00105D9D" w:rsidRPr="0094211C" w:rsidRDefault="00105D9D" w:rsidP="004E7C73">
            <w:pPr>
              <w:jc w:val="center"/>
              <w:rPr>
                <w:rFonts w:eastAsia="Calibri"/>
                <w:noProof/>
              </w:rPr>
            </w:pPr>
            <w:r w:rsidRPr="0094211C">
              <w:rPr>
                <w:noProof/>
              </w:rPr>
              <w:t>48 000 000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282A2F8" w14:textId="77777777" w:rsidR="00105D9D" w:rsidRPr="0094211C" w:rsidRDefault="00105D9D" w:rsidP="004E7C73">
            <w:pPr>
              <w:jc w:val="center"/>
              <w:rPr>
                <w:rFonts w:eastAsia="Calibri"/>
                <w:noProof/>
              </w:rPr>
            </w:pPr>
            <w:r w:rsidRPr="0094211C">
              <w:rPr>
                <w:noProof/>
              </w:rPr>
              <w:t>13 413 000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B2AE34" w14:textId="77777777" w:rsidR="00105D9D" w:rsidRPr="0094211C" w:rsidRDefault="00105D9D" w:rsidP="004E7C73">
            <w:pPr>
              <w:jc w:val="center"/>
              <w:rPr>
                <w:rFonts w:eastAsia="Calibri"/>
                <w:noProof/>
              </w:rPr>
            </w:pPr>
            <w:r w:rsidRPr="0094211C">
              <w:rPr>
                <w:noProof/>
              </w:rPr>
              <w:t>13 413 000</w:t>
            </w:r>
          </w:p>
        </w:tc>
      </w:tr>
      <w:tr w:rsidR="0069144E" w:rsidRPr="0094211C" w14:paraId="68F288E0" w14:textId="77777777" w:rsidTr="0069144E">
        <w:trPr>
          <w:trHeight w:val="2058"/>
        </w:trPr>
        <w:tc>
          <w:tcPr>
            <w:tcW w:w="1704" w:type="dxa"/>
            <w:tcBorders>
              <w:top w:val="single" w:sz="4" w:space="0" w:color="000000"/>
              <w:left w:val="single" w:sz="4" w:space="0" w:color="000000"/>
              <w:bottom w:val="single" w:sz="4" w:space="0" w:color="000000"/>
            </w:tcBorders>
            <w:shd w:val="clear" w:color="auto" w:fill="auto"/>
          </w:tcPr>
          <w:p w14:paraId="7339DB2D" w14:textId="77777777" w:rsidR="00105D9D" w:rsidRPr="0094211C" w:rsidRDefault="00105D9D" w:rsidP="004E7C73">
            <w:pPr>
              <w:rPr>
                <w:rFonts w:eastAsia="Calibri"/>
                <w:noProof/>
              </w:rPr>
            </w:pPr>
            <w:r w:rsidRPr="0094211C">
              <w:rPr>
                <w:noProof/>
              </w:rPr>
              <w:t>1.1. valsts pamatbudžets, tai skaitā ieņēmumi no maksas pakalpojumiem un citi pašu ieņēmumi</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D9A3068" w14:textId="77777777" w:rsidR="00105D9D" w:rsidRPr="0094211C" w:rsidRDefault="00105D9D" w:rsidP="004E7C73">
            <w:pPr>
              <w:jc w:val="center"/>
              <w:rPr>
                <w:rFonts w:eastAsia="Calibri"/>
                <w:noProof/>
              </w:rPr>
            </w:pPr>
            <w:r w:rsidRPr="0094211C">
              <w:rPr>
                <w:noProof/>
              </w:rPr>
              <w:t>36 500 000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3FBE59" w14:textId="77777777" w:rsidR="00105D9D" w:rsidRPr="0094211C" w:rsidRDefault="00105D9D" w:rsidP="004E7C73">
            <w:pPr>
              <w:jc w:val="center"/>
              <w:rPr>
                <w:rFonts w:eastAsia="Calibri"/>
                <w:noProof/>
              </w:rPr>
            </w:pPr>
            <w:r>
              <w:rPr>
                <w:rFonts w:eastAsia="Calibri"/>
                <w:noProof/>
              </w:rPr>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B7661DA" w14:textId="77777777" w:rsidR="00105D9D" w:rsidRPr="0094211C" w:rsidRDefault="00105D9D" w:rsidP="004E7C73">
            <w:pPr>
              <w:jc w:val="center"/>
              <w:rPr>
                <w:rFonts w:eastAsia="Calibri"/>
                <w:noProof/>
              </w:rPr>
            </w:pPr>
            <w:r w:rsidRPr="0094211C">
              <w:rPr>
                <w:rFonts w:eastAsia="Calibri"/>
                <w:noProof/>
              </w:rPr>
              <w:t>37 500 000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794DC6A" w14:textId="77777777" w:rsidR="00105D9D" w:rsidRPr="0094211C" w:rsidRDefault="00105D9D" w:rsidP="004E7C73">
            <w:pPr>
              <w:jc w:val="center"/>
              <w:rPr>
                <w:rFonts w:eastAsia="Calibri"/>
                <w:noProof/>
              </w:rPr>
            </w:pPr>
            <w:r w:rsidRPr="0094211C">
              <w:rPr>
                <w:noProof/>
              </w:rPr>
              <w:t>11 607 000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4D8777E" w14:textId="77777777" w:rsidR="00105D9D" w:rsidRPr="0094211C" w:rsidRDefault="00105D9D" w:rsidP="004E7C73">
            <w:pPr>
              <w:jc w:val="center"/>
              <w:rPr>
                <w:rFonts w:eastAsia="Calibri"/>
                <w:noProof/>
              </w:rPr>
            </w:pPr>
            <w:r w:rsidRPr="0094211C">
              <w:rPr>
                <w:rFonts w:eastAsia="Calibri"/>
                <w:noProof/>
              </w:rPr>
              <w:t>38 200 000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F6D0453" w14:textId="77777777" w:rsidR="00105D9D" w:rsidRPr="0094211C" w:rsidRDefault="00105D9D" w:rsidP="004E7C73">
            <w:pPr>
              <w:jc w:val="center"/>
              <w:rPr>
                <w:rFonts w:eastAsia="Calibri"/>
                <w:noProof/>
              </w:rPr>
            </w:pPr>
            <w:r w:rsidRPr="0094211C">
              <w:rPr>
                <w:noProof/>
              </w:rPr>
              <w:t>11 607 000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4BBF32" w14:textId="77777777" w:rsidR="00105D9D" w:rsidRPr="0094211C" w:rsidRDefault="00105D9D" w:rsidP="004E7C73">
            <w:pPr>
              <w:jc w:val="center"/>
              <w:rPr>
                <w:rFonts w:eastAsia="Calibri"/>
                <w:noProof/>
              </w:rPr>
            </w:pPr>
            <w:r w:rsidRPr="0094211C">
              <w:rPr>
                <w:noProof/>
              </w:rPr>
              <w:t>11 607 000</w:t>
            </w:r>
          </w:p>
        </w:tc>
      </w:tr>
      <w:tr w:rsidR="0069144E" w:rsidRPr="0094211C" w14:paraId="5914C1FC" w14:textId="77777777" w:rsidTr="0069144E">
        <w:trPr>
          <w:trHeight w:val="770"/>
        </w:trPr>
        <w:tc>
          <w:tcPr>
            <w:tcW w:w="1704" w:type="dxa"/>
            <w:tcBorders>
              <w:top w:val="single" w:sz="4" w:space="0" w:color="000000"/>
              <w:left w:val="single" w:sz="4" w:space="0" w:color="000000"/>
              <w:bottom w:val="single" w:sz="4" w:space="0" w:color="000000"/>
            </w:tcBorders>
            <w:shd w:val="clear" w:color="auto" w:fill="auto"/>
          </w:tcPr>
          <w:p w14:paraId="3B79DD8E" w14:textId="77777777" w:rsidR="00105D9D" w:rsidRPr="0094211C" w:rsidRDefault="00105D9D" w:rsidP="004E7C73">
            <w:pPr>
              <w:rPr>
                <w:rFonts w:eastAsia="Calibri"/>
                <w:noProof/>
              </w:rPr>
            </w:pPr>
            <w:r w:rsidRPr="0094211C">
              <w:rPr>
                <w:noProof/>
              </w:rPr>
              <w:t>1.2. valsts speciālais budžets</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D3564CE" w14:textId="77777777" w:rsidR="00105D9D" w:rsidRPr="0094211C" w:rsidRDefault="00105D9D" w:rsidP="004E7C73">
            <w:pPr>
              <w:jc w:val="center"/>
              <w:rPr>
                <w:rFonts w:eastAsia="Calibri"/>
                <w:noProof/>
              </w:rPr>
            </w:pPr>
            <w:r>
              <w:rPr>
                <w:rFonts w:eastAsia="Calibri"/>
                <w:noProof/>
              </w:rPr>
              <w:t>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46912F9" w14:textId="77777777" w:rsidR="00105D9D" w:rsidRPr="0094211C" w:rsidRDefault="00105D9D" w:rsidP="004E7C73">
            <w:pPr>
              <w:jc w:val="center"/>
              <w:rPr>
                <w:rFonts w:eastAsia="Calibri"/>
                <w:noProof/>
              </w:rPr>
            </w:pPr>
            <w:r>
              <w:rPr>
                <w:rFonts w:eastAsia="Calibri"/>
                <w:noProof/>
              </w:rPr>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E098FA9" w14:textId="77777777" w:rsidR="00105D9D" w:rsidRPr="0094211C" w:rsidRDefault="00105D9D" w:rsidP="004E7C73">
            <w:pPr>
              <w:jc w:val="center"/>
              <w:rPr>
                <w:rFonts w:eastAsia="Calibri"/>
                <w:noProof/>
              </w:rPr>
            </w:pPr>
            <w:r>
              <w:rPr>
                <w:rFonts w:eastAsia="Calibri"/>
                <w:noProof/>
              </w:rPr>
              <w:t>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FD8F885" w14:textId="77777777" w:rsidR="00105D9D" w:rsidRPr="0094211C" w:rsidRDefault="00105D9D" w:rsidP="004E7C73">
            <w:pPr>
              <w:jc w:val="center"/>
              <w:rPr>
                <w:rFonts w:eastAsia="Calibri"/>
                <w:noProof/>
              </w:rPr>
            </w:pPr>
            <w:r>
              <w:rPr>
                <w:rFonts w:eastAsia="Calibri"/>
                <w:noProof/>
              </w:rPr>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1C2F402" w14:textId="77777777" w:rsidR="00105D9D" w:rsidRPr="0094211C" w:rsidRDefault="00105D9D" w:rsidP="004E7C73">
            <w:pPr>
              <w:jc w:val="center"/>
              <w:rPr>
                <w:rFonts w:eastAsia="Calibri"/>
                <w:noProof/>
              </w:rPr>
            </w:pPr>
            <w:r>
              <w:rPr>
                <w:rFonts w:eastAsia="Calibri"/>
                <w:noProof/>
              </w:rPr>
              <w:t>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F17EDEE" w14:textId="77777777" w:rsidR="00105D9D" w:rsidRPr="0094211C" w:rsidRDefault="00105D9D" w:rsidP="004E7C73">
            <w:pPr>
              <w:jc w:val="center"/>
              <w:rPr>
                <w:rFonts w:eastAsia="Calibri"/>
                <w:noProof/>
              </w:rPr>
            </w:pPr>
            <w:r>
              <w:rPr>
                <w:rFonts w:eastAsia="Calibri"/>
                <w:noProof/>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0FB162" w14:textId="77777777" w:rsidR="00105D9D" w:rsidRPr="0094211C" w:rsidRDefault="00105D9D" w:rsidP="004E7C73">
            <w:pPr>
              <w:jc w:val="center"/>
              <w:rPr>
                <w:rFonts w:eastAsia="Calibri"/>
                <w:noProof/>
              </w:rPr>
            </w:pPr>
            <w:r>
              <w:rPr>
                <w:rFonts w:eastAsia="Calibri"/>
                <w:noProof/>
              </w:rPr>
              <w:t>0</w:t>
            </w:r>
          </w:p>
        </w:tc>
      </w:tr>
      <w:tr w:rsidR="0069144E" w:rsidRPr="0094211C" w14:paraId="03D41F88" w14:textId="77777777" w:rsidTr="0069144E">
        <w:trPr>
          <w:trHeight w:val="518"/>
        </w:trPr>
        <w:tc>
          <w:tcPr>
            <w:tcW w:w="1704" w:type="dxa"/>
            <w:tcBorders>
              <w:top w:val="single" w:sz="4" w:space="0" w:color="000000"/>
              <w:left w:val="single" w:sz="4" w:space="0" w:color="000000"/>
              <w:bottom w:val="single" w:sz="4" w:space="0" w:color="000000"/>
            </w:tcBorders>
            <w:shd w:val="clear" w:color="auto" w:fill="auto"/>
          </w:tcPr>
          <w:p w14:paraId="0C62C208" w14:textId="77777777" w:rsidR="00105D9D" w:rsidRPr="0094211C" w:rsidRDefault="00105D9D" w:rsidP="004E7C73">
            <w:pPr>
              <w:rPr>
                <w:rFonts w:eastAsia="Calibri"/>
                <w:noProof/>
              </w:rPr>
            </w:pPr>
            <w:r w:rsidRPr="0094211C">
              <w:rPr>
                <w:noProof/>
              </w:rPr>
              <w:t>1.3. pašvaldību budžets</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3BA6C72" w14:textId="77777777" w:rsidR="00105D9D" w:rsidRPr="0094211C" w:rsidRDefault="00105D9D" w:rsidP="004E7C73">
            <w:pPr>
              <w:jc w:val="center"/>
              <w:rPr>
                <w:rFonts w:eastAsia="Calibri"/>
                <w:noProof/>
              </w:rPr>
            </w:pPr>
            <w:r w:rsidRPr="0094211C">
              <w:rPr>
                <w:noProof/>
              </w:rPr>
              <w:t>9 800 000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1DF2C73" w14:textId="77777777" w:rsidR="00105D9D" w:rsidRPr="0094211C" w:rsidRDefault="00105D9D" w:rsidP="004E7C73">
            <w:pPr>
              <w:jc w:val="center"/>
              <w:rPr>
                <w:rFonts w:eastAsia="Calibri"/>
                <w:noProof/>
              </w:rPr>
            </w:pPr>
            <w:r>
              <w:rPr>
                <w:rFonts w:eastAsia="Calibri"/>
                <w:noProof/>
              </w:rPr>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9B92C37" w14:textId="77777777" w:rsidR="00105D9D" w:rsidRPr="0094211C" w:rsidRDefault="00105D9D" w:rsidP="004E7C73">
            <w:pPr>
              <w:jc w:val="center"/>
              <w:rPr>
                <w:rFonts w:eastAsia="Calibri"/>
                <w:noProof/>
              </w:rPr>
            </w:pPr>
            <w:r w:rsidRPr="0094211C">
              <w:rPr>
                <w:rFonts w:eastAsia="Calibri"/>
                <w:noProof/>
              </w:rPr>
              <w:t>9 800 000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FE21E28" w14:textId="77777777" w:rsidR="00105D9D" w:rsidRPr="0094211C" w:rsidRDefault="00105D9D" w:rsidP="004E7C73">
            <w:pPr>
              <w:jc w:val="center"/>
              <w:rPr>
                <w:rFonts w:eastAsia="Calibri"/>
                <w:noProof/>
              </w:rPr>
            </w:pPr>
            <w:r w:rsidRPr="0094211C">
              <w:rPr>
                <w:rFonts w:eastAsia="Calibri"/>
                <w:noProof/>
              </w:rPr>
              <w:t>1 806 000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0ABDF1E" w14:textId="77777777" w:rsidR="00105D9D" w:rsidRPr="0094211C" w:rsidRDefault="00105D9D" w:rsidP="004E7C73">
            <w:pPr>
              <w:jc w:val="center"/>
              <w:rPr>
                <w:rFonts w:eastAsia="Calibri"/>
                <w:noProof/>
              </w:rPr>
            </w:pPr>
            <w:r w:rsidRPr="0094211C">
              <w:rPr>
                <w:rFonts w:eastAsia="Calibri"/>
                <w:noProof/>
              </w:rPr>
              <w:t>9 800 000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9B3BAB" w14:textId="77777777" w:rsidR="00105D9D" w:rsidRPr="0094211C" w:rsidRDefault="00105D9D" w:rsidP="004E7C73">
            <w:pPr>
              <w:jc w:val="center"/>
              <w:rPr>
                <w:rFonts w:eastAsia="Calibri"/>
                <w:noProof/>
              </w:rPr>
            </w:pPr>
            <w:r w:rsidRPr="0094211C">
              <w:rPr>
                <w:rFonts w:eastAsia="Calibri"/>
                <w:noProof/>
              </w:rPr>
              <w:t>1 806 000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CEAAF" w14:textId="77777777" w:rsidR="00105D9D" w:rsidRPr="0094211C" w:rsidRDefault="00105D9D" w:rsidP="004E7C73">
            <w:pPr>
              <w:jc w:val="center"/>
              <w:rPr>
                <w:rFonts w:eastAsia="Calibri"/>
                <w:noProof/>
              </w:rPr>
            </w:pPr>
            <w:r w:rsidRPr="0094211C">
              <w:rPr>
                <w:rFonts w:eastAsia="Calibri"/>
                <w:noProof/>
              </w:rPr>
              <w:t>1 806 000</w:t>
            </w:r>
          </w:p>
        </w:tc>
      </w:tr>
      <w:tr w:rsidR="0069144E" w:rsidRPr="0094211C" w14:paraId="049C3C5B" w14:textId="77777777" w:rsidTr="0069144E">
        <w:trPr>
          <w:trHeight w:val="504"/>
        </w:trPr>
        <w:tc>
          <w:tcPr>
            <w:tcW w:w="1704" w:type="dxa"/>
            <w:tcBorders>
              <w:top w:val="single" w:sz="4" w:space="0" w:color="000000"/>
              <w:left w:val="single" w:sz="4" w:space="0" w:color="000000"/>
              <w:bottom w:val="single" w:sz="4" w:space="0" w:color="000000"/>
            </w:tcBorders>
            <w:shd w:val="clear" w:color="auto" w:fill="auto"/>
          </w:tcPr>
          <w:p w14:paraId="7BCA63B8" w14:textId="77777777" w:rsidR="00105D9D" w:rsidRPr="0094211C" w:rsidRDefault="00105D9D" w:rsidP="004E7C73">
            <w:pPr>
              <w:rPr>
                <w:rFonts w:eastAsia="Calibri"/>
                <w:noProof/>
              </w:rPr>
            </w:pPr>
            <w:r w:rsidRPr="0094211C">
              <w:rPr>
                <w:noProof/>
              </w:rPr>
              <w:t>2. Budžeta izdevumi</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E607658" w14:textId="77777777" w:rsidR="00105D9D" w:rsidRPr="0094211C" w:rsidRDefault="00105D9D" w:rsidP="004E7C73">
            <w:pPr>
              <w:jc w:val="center"/>
              <w:rPr>
                <w:rFonts w:eastAsia="Calibri"/>
                <w:noProof/>
              </w:rPr>
            </w:pPr>
            <w:r>
              <w:rPr>
                <w:rFonts w:eastAsia="Calibri"/>
                <w:noProof/>
              </w:rPr>
              <w:t>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5A8C20A"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629030D" w14:textId="77777777" w:rsidR="00105D9D" w:rsidRPr="0094211C" w:rsidRDefault="00105D9D" w:rsidP="004E7C73">
            <w:pPr>
              <w:jc w:val="center"/>
              <w:rPr>
                <w:rFonts w:eastAsia="Calibri"/>
                <w:noProof/>
              </w:rPr>
            </w:pPr>
            <w:r w:rsidRPr="00343ED0">
              <w:t>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66E8A8"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CF85430" w14:textId="77777777" w:rsidR="00105D9D" w:rsidRPr="0094211C" w:rsidRDefault="00105D9D" w:rsidP="004E7C73">
            <w:pPr>
              <w:jc w:val="center"/>
              <w:rPr>
                <w:rFonts w:eastAsia="Calibri"/>
                <w:noProof/>
              </w:rPr>
            </w:pPr>
            <w:r w:rsidRPr="00343ED0">
              <w:t>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DC2A980" w14:textId="77777777" w:rsidR="00105D9D" w:rsidRPr="0094211C" w:rsidRDefault="00105D9D" w:rsidP="004E7C73">
            <w:pPr>
              <w:jc w:val="center"/>
              <w:rPr>
                <w:rFonts w:eastAsia="Calibri"/>
                <w:noProof/>
              </w:rPr>
            </w:pPr>
            <w:r w:rsidRPr="00343ED0">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ED7B33" w14:textId="77777777" w:rsidR="00105D9D" w:rsidRPr="0094211C" w:rsidRDefault="00105D9D" w:rsidP="004E7C73">
            <w:pPr>
              <w:jc w:val="center"/>
              <w:rPr>
                <w:rFonts w:eastAsia="Calibri"/>
                <w:noProof/>
              </w:rPr>
            </w:pPr>
            <w:r w:rsidRPr="00343ED0">
              <w:t>0</w:t>
            </w:r>
          </w:p>
        </w:tc>
      </w:tr>
      <w:tr w:rsidR="0069144E" w:rsidRPr="0094211C" w14:paraId="231B50A3" w14:textId="77777777" w:rsidTr="0069144E">
        <w:trPr>
          <w:trHeight w:val="504"/>
        </w:trPr>
        <w:tc>
          <w:tcPr>
            <w:tcW w:w="1704" w:type="dxa"/>
            <w:tcBorders>
              <w:top w:val="single" w:sz="4" w:space="0" w:color="000000"/>
              <w:left w:val="single" w:sz="4" w:space="0" w:color="000000"/>
              <w:bottom w:val="single" w:sz="4" w:space="0" w:color="000000"/>
            </w:tcBorders>
            <w:shd w:val="clear" w:color="auto" w:fill="auto"/>
          </w:tcPr>
          <w:p w14:paraId="78C42707" w14:textId="77777777" w:rsidR="00105D9D" w:rsidRPr="0094211C" w:rsidRDefault="00105D9D" w:rsidP="004E7C73">
            <w:pPr>
              <w:rPr>
                <w:rFonts w:eastAsia="Calibri"/>
                <w:noProof/>
              </w:rPr>
            </w:pPr>
            <w:r w:rsidRPr="0094211C">
              <w:rPr>
                <w:noProof/>
              </w:rPr>
              <w:t>2.1. valsts pamatbudžets</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81A2BAF" w14:textId="77777777" w:rsidR="00105D9D" w:rsidRPr="0094211C" w:rsidRDefault="00105D9D" w:rsidP="004E7C73">
            <w:pPr>
              <w:jc w:val="center"/>
              <w:rPr>
                <w:rFonts w:eastAsia="Calibri"/>
                <w:noProof/>
              </w:rPr>
            </w:pPr>
            <w:r>
              <w:rPr>
                <w:rFonts w:eastAsia="Calibri"/>
                <w:noProof/>
              </w:rPr>
              <w:t>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0AA108"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D07C30" w14:textId="77777777" w:rsidR="00105D9D" w:rsidRPr="0094211C" w:rsidRDefault="00105D9D" w:rsidP="004E7C73">
            <w:pPr>
              <w:jc w:val="center"/>
              <w:rPr>
                <w:rFonts w:eastAsia="Calibri"/>
                <w:noProof/>
              </w:rPr>
            </w:pPr>
            <w:r w:rsidRPr="00343ED0">
              <w:t>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A38ED77"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4FAD8A0" w14:textId="77777777" w:rsidR="00105D9D" w:rsidRPr="0094211C" w:rsidRDefault="00105D9D" w:rsidP="004E7C73">
            <w:pPr>
              <w:jc w:val="center"/>
              <w:rPr>
                <w:rFonts w:eastAsia="Calibri"/>
                <w:noProof/>
              </w:rPr>
            </w:pPr>
            <w:r w:rsidRPr="00343ED0">
              <w:t>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556FA1" w14:textId="77777777" w:rsidR="00105D9D" w:rsidRPr="0094211C" w:rsidRDefault="00105D9D" w:rsidP="004E7C73">
            <w:pPr>
              <w:jc w:val="center"/>
              <w:rPr>
                <w:rFonts w:eastAsia="Calibri"/>
                <w:noProof/>
              </w:rPr>
            </w:pPr>
            <w:r w:rsidRPr="00343ED0">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A856EC" w14:textId="77777777" w:rsidR="00105D9D" w:rsidRPr="0094211C" w:rsidRDefault="00105D9D" w:rsidP="004E7C73">
            <w:pPr>
              <w:jc w:val="center"/>
              <w:rPr>
                <w:rFonts w:eastAsia="Calibri"/>
                <w:noProof/>
              </w:rPr>
            </w:pPr>
            <w:r w:rsidRPr="00343ED0">
              <w:t>0</w:t>
            </w:r>
          </w:p>
        </w:tc>
      </w:tr>
      <w:tr w:rsidR="0069144E" w:rsidRPr="0094211C" w14:paraId="15DFEDD1" w14:textId="77777777" w:rsidTr="0069144E">
        <w:trPr>
          <w:trHeight w:val="770"/>
        </w:trPr>
        <w:tc>
          <w:tcPr>
            <w:tcW w:w="1704" w:type="dxa"/>
            <w:tcBorders>
              <w:top w:val="single" w:sz="4" w:space="0" w:color="000000"/>
              <w:left w:val="single" w:sz="4" w:space="0" w:color="000000"/>
              <w:bottom w:val="single" w:sz="4" w:space="0" w:color="000000"/>
            </w:tcBorders>
            <w:shd w:val="clear" w:color="auto" w:fill="auto"/>
          </w:tcPr>
          <w:p w14:paraId="69F139D4" w14:textId="77777777" w:rsidR="00105D9D" w:rsidRPr="0094211C" w:rsidRDefault="00105D9D" w:rsidP="004E7C73">
            <w:pPr>
              <w:rPr>
                <w:rFonts w:eastAsia="Calibri"/>
                <w:noProof/>
              </w:rPr>
            </w:pPr>
            <w:r w:rsidRPr="0094211C">
              <w:rPr>
                <w:noProof/>
              </w:rPr>
              <w:t>2.2. valsts speciālais budžets</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6447831" w14:textId="77777777" w:rsidR="00105D9D" w:rsidRPr="0094211C" w:rsidRDefault="00105D9D" w:rsidP="004E7C73">
            <w:pPr>
              <w:jc w:val="center"/>
              <w:rPr>
                <w:rFonts w:eastAsia="Calibri"/>
                <w:noProof/>
              </w:rPr>
            </w:pPr>
            <w:r>
              <w:rPr>
                <w:rFonts w:eastAsia="Calibri"/>
                <w:noProof/>
              </w:rPr>
              <w:t>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C3EB81"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2EAFCB" w14:textId="77777777" w:rsidR="00105D9D" w:rsidRPr="0094211C" w:rsidRDefault="00105D9D" w:rsidP="004E7C73">
            <w:pPr>
              <w:jc w:val="center"/>
              <w:rPr>
                <w:rFonts w:eastAsia="Calibri"/>
                <w:noProof/>
              </w:rPr>
            </w:pPr>
            <w:r w:rsidRPr="00343ED0">
              <w:t>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81AE95E"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B77A733" w14:textId="77777777" w:rsidR="00105D9D" w:rsidRPr="0094211C" w:rsidRDefault="00105D9D" w:rsidP="004E7C73">
            <w:pPr>
              <w:jc w:val="center"/>
              <w:rPr>
                <w:rFonts w:eastAsia="Calibri"/>
                <w:noProof/>
              </w:rPr>
            </w:pPr>
            <w:r w:rsidRPr="00343ED0">
              <w:t>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8560028" w14:textId="77777777" w:rsidR="00105D9D" w:rsidRPr="0094211C" w:rsidRDefault="00105D9D" w:rsidP="004E7C73">
            <w:pPr>
              <w:jc w:val="center"/>
              <w:rPr>
                <w:rFonts w:eastAsia="Calibri"/>
                <w:noProof/>
              </w:rPr>
            </w:pPr>
            <w:r w:rsidRPr="00343ED0">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50D3F2" w14:textId="77777777" w:rsidR="00105D9D" w:rsidRPr="0094211C" w:rsidRDefault="00105D9D" w:rsidP="004E7C73">
            <w:pPr>
              <w:jc w:val="center"/>
              <w:rPr>
                <w:rFonts w:eastAsia="Calibri"/>
                <w:noProof/>
              </w:rPr>
            </w:pPr>
            <w:r w:rsidRPr="00343ED0">
              <w:t>0</w:t>
            </w:r>
          </w:p>
        </w:tc>
      </w:tr>
      <w:tr w:rsidR="0069144E" w:rsidRPr="0094211C" w14:paraId="121D993D" w14:textId="77777777" w:rsidTr="0069144E">
        <w:trPr>
          <w:trHeight w:val="518"/>
        </w:trPr>
        <w:tc>
          <w:tcPr>
            <w:tcW w:w="1704" w:type="dxa"/>
            <w:tcBorders>
              <w:top w:val="single" w:sz="4" w:space="0" w:color="000000"/>
              <w:left w:val="single" w:sz="4" w:space="0" w:color="000000"/>
              <w:bottom w:val="single" w:sz="4" w:space="0" w:color="000000"/>
            </w:tcBorders>
            <w:shd w:val="clear" w:color="auto" w:fill="auto"/>
          </w:tcPr>
          <w:p w14:paraId="4AB32AFD" w14:textId="77777777" w:rsidR="00105D9D" w:rsidRPr="0094211C" w:rsidRDefault="00105D9D" w:rsidP="004E7C73">
            <w:pPr>
              <w:rPr>
                <w:rFonts w:eastAsia="Calibri"/>
                <w:noProof/>
              </w:rPr>
            </w:pPr>
            <w:r w:rsidRPr="0094211C">
              <w:rPr>
                <w:noProof/>
              </w:rPr>
              <w:t>2.3. pašvaldību budžets</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685115D" w14:textId="77777777" w:rsidR="00105D9D" w:rsidRPr="0094211C" w:rsidRDefault="00105D9D" w:rsidP="004E7C73">
            <w:pPr>
              <w:jc w:val="center"/>
              <w:rPr>
                <w:rFonts w:eastAsia="Calibri"/>
                <w:noProof/>
              </w:rPr>
            </w:pPr>
            <w:r>
              <w:rPr>
                <w:rFonts w:eastAsia="Calibri"/>
                <w:noProof/>
              </w:rPr>
              <w:t>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9F7F460"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866EDAD" w14:textId="77777777" w:rsidR="00105D9D" w:rsidRPr="0094211C" w:rsidRDefault="00105D9D" w:rsidP="004E7C73">
            <w:pPr>
              <w:jc w:val="center"/>
              <w:rPr>
                <w:rFonts w:eastAsia="Calibri"/>
                <w:noProof/>
              </w:rPr>
            </w:pPr>
            <w:r w:rsidRPr="00343ED0">
              <w:t>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FB8E7C8"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A0A6A4" w14:textId="77777777" w:rsidR="00105D9D" w:rsidRPr="0094211C" w:rsidRDefault="00105D9D" w:rsidP="004E7C73">
            <w:pPr>
              <w:jc w:val="center"/>
              <w:rPr>
                <w:rFonts w:eastAsia="Calibri"/>
                <w:noProof/>
              </w:rPr>
            </w:pPr>
            <w:r w:rsidRPr="00343ED0">
              <w:t>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525CA41" w14:textId="77777777" w:rsidR="00105D9D" w:rsidRPr="0094211C" w:rsidRDefault="00105D9D" w:rsidP="004E7C73">
            <w:pPr>
              <w:jc w:val="center"/>
              <w:rPr>
                <w:rFonts w:eastAsia="Calibri"/>
                <w:noProof/>
              </w:rPr>
            </w:pPr>
            <w:r w:rsidRPr="00343ED0">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CCEFF0" w14:textId="77777777" w:rsidR="00105D9D" w:rsidRPr="0094211C" w:rsidRDefault="00105D9D" w:rsidP="004E7C73">
            <w:pPr>
              <w:jc w:val="center"/>
              <w:rPr>
                <w:rFonts w:eastAsia="Calibri"/>
                <w:noProof/>
              </w:rPr>
            </w:pPr>
            <w:r w:rsidRPr="00343ED0">
              <w:t>0</w:t>
            </w:r>
          </w:p>
        </w:tc>
      </w:tr>
      <w:tr w:rsidR="0069144E" w:rsidRPr="0094211C" w14:paraId="032BF988" w14:textId="77777777" w:rsidTr="0069144E">
        <w:trPr>
          <w:trHeight w:val="504"/>
        </w:trPr>
        <w:tc>
          <w:tcPr>
            <w:tcW w:w="1704" w:type="dxa"/>
            <w:tcBorders>
              <w:top w:val="single" w:sz="4" w:space="0" w:color="000000"/>
              <w:left w:val="single" w:sz="4" w:space="0" w:color="000000"/>
              <w:bottom w:val="single" w:sz="4" w:space="0" w:color="000000"/>
            </w:tcBorders>
            <w:shd w:val="clear" w:color="auto" w:fill="auto"/>
          </w:tcPr>
          <w:p w14:paraId="148C84D7" w14:textId="77777777" w:rsidR="00105D9D" w:rsidRPr="0094211C" w:rsidRDefault="00105D9D" w:rsidP="004E7C73">
            <w:pPr>
              <w:rPr>
                <w:rFonts w:eastAsia="Calibri"/>
                <w:noProof/>
              </w:rPr>
            </w:pPr>
            <w:r w:rsidRPr="0094211C">
              <w:rPr>
                <w:noProof/>
              </w:rPr>
              <w:t>3. Finansiālā ietekme</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DD0F11D" w14:textId="77777777" w:rsidR="00105D9D" w:rsidRPr="0094211C" w:rsidRDefault="00105D9D" w:rsidP="004E7C73">
            <w:pPr>
              <w:jc w:val="center"/>
              <w:rPr>
                <w:rFonts w:eastAsia="Calibri"/>
                <w:noProof/>
              </w:rPr>
            </w:pPr>
            <w:r>
              <w:rPr>
                <w:rFonts w:eastAsia="Calibri"/>
                <w:noProof/>
              </w:rPr>
              <w:t>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3BECA8B"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96CE447" w14:textId="77777777" w:rsidR="00105D9D" w:rsidRPr="0094211C" w:rsidRDefault="00105D9D" w:rsidP="004E7C73">
            <w:pPr>
              <w:jc w:val="center"/>
              <w:rPr>
                <w:rFonts w:eastAsia="Calibri"/>
                <w:noProof/>
              </w:rPr>
            </w:pPr>
            <w:r w:rsidRPr="00343ED0">
              <w:t>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17E50F4" w14:textId="77777777" w:rsidR="00105D9D" w:rsidRPr="0094211C" w:rsidRDefault="00105D9D" w:rsidP="004E7C73">
            <w:pPr>
              <w:jc w:val="center"/>
              <w:rPr>
                <w:rFonts w:eastAsia="Calibri"/>
                <w:noProof/>
              </w:rPr>
            </w:pPr>
            <w:r>
              <w:rPr>
                <w:rFonts w:eastAsia="Calibri"/>
                <w:noProof/>
              </w:rPr>
              <w:t>+</w:t>
            </w:r>
            <w:r w:rsidRPr="003237EC">
              <w:rPr>
                <w:rFonts w:eastAsia="Calibri"/>
                <w:noProof/>
              </w:rPr>
              <w:t>13 413 000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5F4A6B1" w14:textId="77777777" w:rsidR="00105D9D" w:rsidRPr="0094211C" w:rsidRDefault="00105D9D" w:rsidP="004E7C73">
            <w:pPr>
              <w:jc w:val="center"/>
              <w:rPr>
                <w:rFonts w:eastAsia="Calibri"/>
                <w:noProof/>
              </w:rPr>
            </w:pPr>
            <w:r w:rsidRPr="00343ED0">
              <w:t>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5AB8620" w14:textId="77777777" w:rsidR="00105D9D" w:rsidRPr="0094211C" w:rsidRDefault="00105D9D" w:rsidP="004E7C73">
            <w:pPr>
              <w:jc w:val="center"/>
              <w:rPr>
                <w:rFonts w:eastAsia="Calibri"/>
                <w:noProof/>
              </w:rPr>
            </w:pPr>
            <w:r w:rsidRPr="003237EC">
              <w:t>+13 413 000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4571D0" w14:textId="77777777" w:rsidR="00105D9D" w:rsidRPr="0094211C" w:rsidRDefault="00105D9D" w:rsidP="004E7C73">
            <w:pPr>
              <w:jc w:val="center"/>
              <w:rPr>
                <w:rFonts w:eastAsia="Calibri"/>
                <w:noProof/>
              </w:rPr>
            </w:pPr>
            <w:r w:rsidRPr="003237EC">
              <w:t>+13 413 000</w:t>
            </w:r>
          </w:p>
        </w:tc>
      </w:tr>
      <w:tr w:rsidR="0069144E" w:rsidRPr="0094211C" w14:paraId="3585DAC7" w14:textId="77777777" w:rsidTr="0069144E">
        <w:trPr>
          <w:trHeight w:val="518"/>
        </w:trPr>
        <w:tc>
          <w:tcPr>
            <w:tcW w:w="1704" w:type="dxa"/>
            <w:tcBorders>
              <w:top w:val="single" w:sz="4" w:space="0" w:color="000000"/>
              <w:left w:val="single" w:sz="4" w:space="0" w:color="000000"/>
              <w:bottom w:val="single" w:sz="4" w:space="0" w:color="000000"/>
            </w:tcBorders>
            <w:shd w:val="clear" w:color="auto" w:fill="auto"/>
          </w:tcPr>
          <w:p w14:paraId="49107607" w14:textId="77777777" w:rsidR="00105D9D" w:rsidRPr="0094211C" w:rsidRDefault="00105D9D" w:rsidP="004E7C73">
            <w:pPr>
              <w:rPr>
                <w:rFonts w:eastAsia="Calibri"/>
                <w:noProof/>
              </w:rPr>
            </w:pPr>
            <w:r w:rsidRPr="0094211C">
              <w:rPr>
                <w:noProof/>
              </w:rPr>
              <w:t>3.1. valsts pamatbudžets</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78CC56C" w14:textId="77777777" w:rsidR="00105D9D" w:rsidRPr="0094211C" w:rsidRDefault="00105D9D" w:rsidP="004E7C73">
            <w:pPr>
              <w:jc w:val="center"/>
              <w:rPr>
                <w:rFonts w:eastAsia="Calibri"/>
                <w:noProof/>
              </w:rPr>
            </w:pPr>
            <w:r>
              <w:rPr>
                <w:rFonts w:eastAsia="Calibri"/>
                <w:noProof/>
              </w:rPr>
              <w:t>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E7E8074"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61288CE" w14:textId="77777777" w:rsidR="00105D9D" w:rsidRPr="0094211C" w:rsidRDefault="00105D9D" w:rsidP="004E7C73">
            <w:pPr>
              <w:jc w:val="center"/>
              <w:rPr>
                <w:rFonts w:eastAsia="Calibri"/>
                <w:noProof/>
              </w:rPr>
            </w:pPr>
            <w:r w:rsidRPr="00343ED0">
              <w:t>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0171630" w14:textId="77777777" w:rsidR="00105D9D" w:rsidRPr="0094211C" w:rsidRDefault="00105D9D" w:rsidP="004E7C73">
            <w:pPr>
              <w:jc w:val="center"/>
              <w:rPr>
                <w:rFonts w:eastAsia="Calibri"/>
                <w:noProof/>
              </w:rPr>
            </w:pPr>
            <w:r>
              <w:t>+</w:t>
            </w:r>
            <w:r w:rsidRPr="003237EC">
              <w:t>11 607 000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0BAF0A1" w14:textId="77777777" w:rsidR="00105D9D" w:rsidRPr="0094211C" w:rsidRDefault="00105D9D" w:rsidP="004E7C73">
            <w:pPr>
              <w:jc w:val="center"/>
              <w:rPr>
                <w:rFonts w:eastAsia="Calibri"/>
                <w:noProof/>
              </w:rPr>
            </w:pPr>
            <w:r w:rsidRPr="00343ED0">
              <w:t>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EAE0504" w14:textId="77777777" w:rsidR="00105D9D" w:rsidRPr="0094211C" w:rsidRDefault="00105D9D" w:rsidP="004E7C73">
            <w:pPr>
              <w:jc w:val="center"/>
              <w:rPr>
                <w:rFonts w:eastAsia="Calibri"/>
                <w:noProof/>
              </w:rPr>
            </w:pPr>
            <w:r w:rsidRPr="003237EC">
              <w:t>+11 607 000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032A99" w14:textId="77777777" w:rsidR="00105D9D" w:rsidRPr="0094211C" w:rsidRDefault="00105D9D" w:rsidP="004E7C73">
            <w:pPr>
              <w:jc w:val="center"/>
              <w:rPr>
                <w:rFonts w:eastAsia="Calibri"/>
                <w:noProof/>
              </w:rPr>
            </w:pPr>
            <w:r w:rsidRPr="003237EC">
              <w:t>+11 607 000</w:t>
            </w:r>
          </w:p>
        </w:tc>
      </w:tr>
      <w:tr w:rsidR="0069144E" w:rsidRPr="0094211C" w14:paraId="0CC25285" w14:textId="77777777" w:rsidTr="0069144E">
        <w:trPr>
          <w:trHeight w:val="504"/>
        </w:trPr>
        <w:tc>
          <w:tcPr>
            <w:tcW w:w="1704" w:type="dxa"/>
            <w:tcBorders>
              <w:top w:val="single" w:sz="4" w:space="0" w:color="000000"/>
              <w:left w:val="single" w:sz="4" w:space="0" w:color="000000"/>
              <w:bottom w:val="single" w:sz="4" w:space="0" w:color="000000"/>
            </w:tcBorders>
            <w:shd w:val="clear" w:color="auto" w:fill="auto"/>
          </w:tcPr>
          <w:p w14:paraId="6B26E669" w14:textId="77777777" w:rsidR="00105D9D" w:rsidRPr="0094211C" w:rsidRDefault="00105D9D" w:rsidP="004E7C73">
            <w:pPr>
              <w:rPr>
                <w:rFonts w:eastAsia="Calibri"/>
                <w:noProof/>
              </w:rPr>
            </w:pPr>
            <w:r w:rsidRPr="0094211C">
              <w:rPr>
                <w:noProof/>
              </w:rPr>
              <w:t>3.2. speciālais budžets</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E6231B2" w14:textId="77777777" w:rsidR="00105D9D" w:rsidRPr="0094211C" w:rsidRDefault="00105D9D" w:rsidP="004E7C73">
            <w:pPr>
              <w:jc w:val="center"/>
              <w:rPr>
                <w:rFonts w:eastAsia="Calibri"/>
                <w:noProof/>
              </w:rPr>
            </w:pPr>
            <w:r>
              <w:rPr>
                <w:rFonts w:eastAsia="Calibri"/>
                <w:noProof/>
              </w:rPr>
              <w:t>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81954B4"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ED34B77" w14:textId="77777777" w:rsidR="00105D9D" w:rsidRPr="0094211C" w:rsidRDefault="00105D9D" w:rsidP="004E7C73">
            <w:pPr>
              <w:jc w:val="center"/>
              <w:rPr>
                <w:rFonts w:eastAsia="Calibri"/>
                <w:noProof/>
              </w:rPr>
            </w:pPr>
            <w:r w:rsidRPr="00343ED0">
              <w:t>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B02F869"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C00A86F" w14:textId="77777777" w:rsidR="00105D9D" w:rsidRPr="0094211C" w:rsidRDefault="00105D9D" w:rsidP="004E7C73">
            <w:pPr>
              <w:jc w:val="center"/>
              <w:rPr>
                <w:rFonts w:eastAsia="Calibri"/>
                <w:noProof/>
              </w:rPr>
            </w:pPr>
            <w:r w:rsidRPr="00343ED0">
              <w:t>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04AB7CA" w14:textId="77777777" w:rsidR="00105D9D" w:rsidRPr="0094211C" w:rsidRDefault="00105D9D" w:rsidP="004E7C73">
            <w:pPr>
              <w:jc w:val="center"/>
              <w:rPr>
                <w:rFonts w:eastAsia="Calibri"/>
                <w:noProof/>
              </w:rPr>
            </w:pPr>
            <w:r w:rsidRPr="00343ED0">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7997D4" w14:textId="77777777" w:rsidR="00105D9D" w:rsidRPr="0094211C" w:rsidRDefault="00105D9D" w:rsidP="004E7C73">
            <w:pPr>
              <w:jc w:val="center"/>
              <w:rPr>
                <w:rFonts w:eastAsia="Calibri"/>
                <w:noProof/>
              </w:rPr>
            </w:pPr>
            <w:r w:rsidRPr="00343ED0">
              <w:t>0</w:t>
            </w:r>
          </w:p>
        </w:tc>
      </w:tr>
      <w:tr w:rsidR="0069144E" w:rsidRPr="0094211C" w14:paraId="66E87539" w14:textId="77777777" w:rsidTr="0069144E">
        <w:trPr>
          <w:trHeight w:val="518"/>
        </w:trPr>
        <w:tc>
          <w:tcPr>
            <w:tcW w:w="1704" w:type="dxa"/>
            <w:tcBorders>
              <w:top w:val="single" w:sz="4" w:space="0" w:color="000000"/>
              <w:left w:val="single" w:sz="4" w:space="0" w:color="000000"/>
              <w:bottom w:val="single" w:sz="4" w:space="0" w:color="000000"/>
            </w:tcBorders>
            <w:shd w:val="clear" w:color="auto" w:fill="auto"/>
          </w:tcPr>
          <w:p w14:paraId="15E47C21" w14:textId="77777777" w:rsidR="00105D9D" w:rsidRPr="0094211C" w:rsidRDefault="00105D9D" w:rsidP="004E7C73">
            <w:pPr>
              <w:rPr>
                <w:rFonts w:eastAsia="Calibri"/>
                <w:noProof/>
              </w:rPr>
            </w:pPr>
            <w:r w:rsidRPr="0094211C">
              <w:rPr>
                <w:noProof/>
              </w:rPr>
              <w:t>3.3. pašvaldību budžets</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97AC039" w14:textId="77777777" w:rsidR="00105D9D" w:rsidRPr="0094211C" w:rsidRDefault="00105D9D" w:rsidP="004E7C73">
            <w:pPr>
              <w:jc w:val="center"/>
              <w:rPr>
                <w:rFonts w:eastAsia="Calibri"/>
                <w:noProof/>
              </w:rPr>
            </w:pPr>
            <w:r>
              <w:rPr>
                <w:rFonts w:eastAsia="Calibri"/>
                <w:noProof/>
              </w:rPr>
              <w:t>0</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52D3A6C" w14:textId="77777777" w:rsidR="00105D9D" w:rsidRPr="0094211C" w:rsidRDefault="00105D9D" w:rsidP="004E7C73">
            <w:pPr>
              <w:jc w:val="center"/>
              <w:rPr>
                <w:rFonts w:eastAsia="Calibri"/>
                <w:noProof/>
              </w:rPr>
            </w:pPr>
            <w:r w:rsidRPr="00343ED0">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3273AD7" w14:textId="77777777" w:rsidR="00105D9D" w:rsidRPr="0094211C" w:rsidRDefault="00105D9D" w:rsidP="004E7C73">
            <w:pPr>
              <w:jc w:val="center"/>
              <w:rPr>
                <w:rFonts w:eastAsia="Calibri"/>
                <w:noProof/>
              </w:rPr>
            </w:pPr>
            <w:r>
              <w:t>0</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30942D0" w14:textId="77777777" w:rsidR="00105D9D" w:rsidRPr="0094211C" w:rsidRDefault="00105D9D" w:rsidP="004E7C73">
            <w:pPr>
              <w:jc w:val="center"/>
              <w:rPr>
                <w:rFonts w:eastAsia="Calibri"/>
                <w:noProof/>
              </w:rPr>
            </w:pPr>
            <w:r>
              <w:t>+</w:t>
            </w:r>
            <w:r w:rsidRPr="003237EC">
              <w:t>1 806 000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555174E" w14:textId="77777777" w:rsidR="00105D9D" w:rsidRPr="0094211C" w:rsidRDefault="00105D9D" w:rsidP="004E7C73">
            <w:pPr>
              <w:jc w:val="center"/>
              <w:rPr>
                <w:rFonts w:eastAsia="Calibri"/>
                <w:noProof/>
              </w:rPr>
            </w:pPr>
            <w:r w:rsidRPr="00343ED0">
              <w:t>0</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C6BDAFB" w14:textId="77777777" w:rsidR="00105D9D" w:rsidRPr="0094211C" w:rsidRDefault="00105D9D" w:rsidP="004E7C73">
            <w:pPr>
              <w:jc w:val="center"/>
              <w:rPr>
                <w:rFonts w:eastAsia="Calibri"/>
                <w:noProof/>
              </w:rPr>
            </w:pPr>
            <w:r>
              <w:t>+</w:t>
            </w:r>
            <w:r w:rsidRPr="003237EC">
              <w:t>1 806 000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BCD29D" w14:textId="77777777" w:rsidR="00105D9D" w:rsidRPr="0094211C" w:rsidRDefault="00105D9D" w:rsidP="004E7C73">
            <w:pPr>
              <w:jc w:val="center"/>
              <w:rPr>
                <w:rFonts w:eastAsia="Calibri"/>
                <w:noProof/>
              </w:rPr>
            </w:pPr>
            <w:r>
              <w:rPr>
                <w:rFonts w:eastAsia="Calibri"/>
                <w:noProof/>
              </w:rPr>
              <w:t>+</w:t>
            </w:r>
            <w:r w:rsidRPr="003237EC">
              <w:rPr>
                <w:rFonts w:eastAsia="Calibri"/>
                <w:noProof/>
              </w:rPr>
              <w:t>1 806 000</w:t>
            </w:r>
          </w:p>
        </w:tc>
      </w:tr>
      <w:tr w:rsidR="0069144E" w:rsidRPr="0094211C" w14:paraId="7DE30966" w14:textId="77777777" w:rsidTr="0069144E">
        <w:trPr>
          <w:trHeight w:val="2310"/>
        </w:trPr>
        <w:tc>
          <w:tcPr>
            <w:tcW w:w="1704" w:type="dxa"/>
            <w:tcBorders>
              <w:top w:val="single" w:sz="4" w:space="0" w:color="000000"/>
              <w:left w:val="single" w:sz="4" w:space="0" w:color="000000"/>
              <w:bottom w:val="single" w:sz="4" w:space="0" w:color="000000"/>
            </w:tcBorders>
            <w:shd w:val="clear" w:color="auto" w:fill="auto"/>
          </w:tcPr>
          <w:p w14:paraId="7EE601A4" w14:textId="77777777" w:rsidR="00105D9D" w:rsidRPr="0094211C" w:rsidRDefault="00105D9D" w:rsidP="004E7C73">
            <w:pPr>
              <w:rPr>
                <w:rFonts w:eastAsia="Calibri"/>
                <w:noProof/>
              </w:rPr>
            </w:pPr>
            <w:r w:rsidRPr="0094211C">
              <w:rPr>
                <w:noProof/>
              </w:rPr>
              <w:lastRenderedPageBreak/>
              <w:t>4. Finanšu līdzekļi papildu izdevumu finansēšanai (kompensējošu izdevumu samazinājumu norāda ar "+" zīmi)</w:t>
            </w:r>
          </w:p>
        </w:tc>
        <w:tc>
          <w:tcPr>
            <w:tcW w:w="11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8D9F87F" w14:textId="77777777" w:rsidR="00105D9D" w:rsidRPr="0094211C" w:rsidRDefault="00105D9D" w:rsidP="004E7C73">
            <w:pPr>
              <w:jc w:val="center"/>
              <w:rPr>
                <w:rFonts w:eastAsia="Calibri"/>
                <w:noProof/>
              </w:rPr>
            </w:pPr>
            <w:r>
              <w:rPr>
                <w:rFonts w:eastAsia="Calibri"/>
                <w:noProof/>
              </w:rPr>
              <w:t>X</w:t>
            </w: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D1F0D28" w14:textId="77777777" w:rsidR="00105D9D" w:rsidRPr="0094211C" w:rsidRDefault="00105D9D" w:rsidP="004E7C73">
            <w:pPr>
              <w:jc w:val="center"/>
              <w:rPr>
                <w:noProof/>
              </w:rPr>
            </w:pPr>
            <w:r>
              <w:rPr>
                <w:noProof/>
              </w:rPr>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B489C62" w14:textId="77777777" w:rsidR="00105D9D" w:rsidRPr="0094211C" w:rsidRDefault="00105D9D" w:rsidP="004E7C73">
            <w:pPr>
              <w:jc w:val="center"/>
              <w:rPr>
                <w:rFonts w:eastAsia="Calibri"/>
                <w:noProof/>
              </w:rPr>
            </w:pPr>
            <w:r>
              <w:rPr>
                <w:rFonts w:eastAsia="Calibri"/>
                <w:noProof/>
              </w:rPr>
              <w:t>X</w:t>
            </w: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BA4482C" w14:textId="77777777" w:rsidR="00105D9D" w:rsidRPr="0094211C" w:rsidRDefault="00105D9D" w:rsidP="004E7C73">
            <w:pPr>
              <w:jc w:val="center"/>
              <w:rPr>
                <w:noProof/>
              </w:rPr>
            </w:pPr>
            <w:r>
              <w:rPr>
                <w:noProof/>
              </w:rPr>
              <w:t>0</w:t>
            </w:r>
          </w:p>
        </w:tc>
        <w:tc>
          <w:tcPr>
            <w:tcW w:w="113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871A177" w14:textId="77777777" w:rsidR="00105D9D" w:rsidRPr="0094211C" w:rsidRDefault="00105D9D" w:rsidP="004E7C73">
            <w:pPr>
              <w:jc w:val="center"/>
              <w:rPr>
                <w:rFonts w:eastAsia="Calibri"/>
                <w:noProof/>
              </w:rPr>
            </w:pPr>
            <w:r>
              <w:rPr>
                <w:rFonts w:eastAsia="Calibri"/>
                <w:noProof/>
              </w:rPr>
              <w:t>X</w:t>
            </w: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A4C3822" w14:textId="77777777" w:rsidR="00105D9D" w:rsidRPr="0094211C" w:rsidRDefault="00105D9D" w:rsidP="004E7C73">
            <w:pPr>
              <w:jc w:val="center"/>
              <w:rPr>
                <w:rFonts w:eastAsia="Calibri"/>
                <w:noProof/>
              </w:rPr>
            </w:pPr>
            <w:r>
              <w:rPr>
                <w:rFonts w:eastAsia="Calibri"/>
                <w:noProof/>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24B63" w14:textId="77777777" w:rsidR="00105D9D" w:rsidRPr="0094211C" w:rsidRDefault="00105D9D" w:rsidP="004E7C73">
            <w:pPr>
              <w:jc w:val="center"/>
              <w:rPr>
                <w:rFonts w:eastAsia="Calibri"/>
                <w:noProof/>
              </w:rPr>
            </w:pPr>
            <w:r>
              <w:rPr>
                <w:rFonts w:eastAsia="Calibri"/>
                <w:noProof/>
              </w:rPr>
              <w:t>0</w:t>
            </w:r>
          </w:p>
        </w:tc>
      </w:tr>
      <w:tr w:rsidR="00B93F39" w:rsidRPr="0094211C" w14:paraId="4AEF6707" w14:textId="77777777" w:rsidTr="00232C54">
        <w:trPr>
          <w:trHeight w:val="770"/>
        </w:trPr>
        <w:tc>
          <w:tcPr>
            <w:tcW w:w="1704" w:type="dxa"/>
            <w:tcBorders>
              <w:top w:val="single" w:sz="4" w:space="0" w:color="000000"/>
              <w:left w:val="single" w:sz="4" w:space="0" w:color="000000"/>
              <w:bottom w:val="single" w:sz="4" w:space="0" w:color="000000"/>
            </w:tcBorders>
            <w:shd w:val="clear" w:color="auto" w:fill="auto"/>
          </w:tcPr>
          <w:p w14:paraId="09EC989A" w14:textId="77777777" w:rsidR="00B93F39" w:rsidRPr="0094211C" w:rsidRDefault="00B93F39" w:rsidP="00B93F39">
            <w:pPr>
              <w:rPr>
                <w:rFonts w:eastAsia="Calibri"/>
                <w:noProof/>
              </w:rPr>
            </w:pPr>
            <w:r w:rsidRPr="0094211C">
              <w:rPr>
                <w:noProof/>
              </w:rPr>
              <w:t>5. Precizēta finansiālā ietekme</w:t>
            </w:r>
          </w:p>
        </w:tc>
        <w:tc>
          <w:tcPr>
            <w:tcW w:w="1131"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4A6F9E0" w14:textId="77777777" w:rsidR="00B93F39" w:rsidRPr="0094211C" w:rsidRDefault="00B93F39" w:rsidP="00B93F39">
            <w:pPr>
              <w:snapToGrid w:val="0"/>
              <w:jc w:val="center"/>
              <w:rPr>
                <w:rFonts w:eastAsia="Calibri"/>
                <w:noProof/>
              </w:rPr>
            </w:pPr>
            <w:r>
              <w:rPr>
                <w:rFonts w:eastAsia="Calibri"/>
                <w:noProof/>
              </w:rPr>
              <w:t>X</w:t>
            </w:r>
          </w:p>
          <w:p w14:paraId="24CCED7A" w14:textId="77777777" w:rsidR="00B93F39" w:rsidRPr="0094211C" w:rsidRDefault="00B93F39" w:rsidP="00B93F39">
            <w:pPr>
              <w:jc w:val="center"/>
              <w:rPr>
                <w:rFonts w:eastAsia="Calibri"/>
                <w:noProof/>
              </w:rPr>
            </w:pPr>
          </w:p>
          <w:p w14:paraId="64BF38C2" w14:textId="77777777" w:rsidR="00B93F39" w:rsidRPr="0094211C" w:rsidRDefault="00B93F39" w:rsidP="00B93F39">
            <w:pPr>
              <w:jc w:val="center"/>
              <w:rPr>
                <w:noProof/>
              </w:rPr>
            </w:pPr>
          </w:p>
          <w:p w14:paraId="16F169B5" w14:textId="77777777" w:rsidR="00B93F39" w:rsidRPr="0094211C" w:rsidRDefault="00B93F39" w:rsidP="00B93F39">
            <w:pPr>
              <w:jc w:val="center"/>
              <w:rPr>
                <w:rFonts w:eastAsia="Calibri"/>
                <w:noProof/>
              </w:rPr>
            </w:pPr>
          </w:p>
        </w:tc>
        <w:tc>
          <w:tcPr>
            <w:tcW w:w="99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46710890" w14:textId="77777777" w:rsidR="00B93F39" w:rsidRPr="0094211C" w:rsidRDefault="00B93F39" w:rsidP="00B93F39">
            <w:pPr>
              <w:snapToGrid w:val="0"/>
              <w:jc w:val="center"/>
              <w:rPr>
                <w:rFonts w:eastAsia="Calibri"/>
                <w:noProof/>
              </w:rPr>
            </w:pPr>
            <w:r>
              <w:rPr>
                <w:rFonts w:eastAsia="Calibri"/>
                <w:noProof/>
              </w:rPr>
              <w:t>0</w:t>
            </w:r>
          </w:p>
        </w:tc>
        <w:tc>
          <w:tcPr>
            <w:tcW w:w="1134"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144437" w14:textId="77777777" w:rsidR="00B93F39" w:rsidRPr="0094211C" w:rsidRDefault="00B93F39" w:rsidP="00B93F39">
            <w:pPr>
              <w:snapToGrid w:val="0"/>
              <w:jc w:val="center"/>
              <w:rPr>
                <w:rFonts w:eastAsia="Calibri"/>
                <w:noProof/>
              </w:rPr>
            </w:pPr>
            <w:r>
              <w:rPr>
                <w:rFonts w:eastAsia="Calibri"/>
                <w:noProof/>
              </w:rPr>
              <w:t>X</w:t>
            </w:r>
          </w:p>
          <w:p w14:paraId="0789BB1D" w14:textId="77777777" w:rsidR="00B93F39" w:rsidRPr="0094211C" w:rsidRDefault="00B93F39" w:rsidP="00B93F39">
            <w:pPr>
              <w:jc w:val="center"/>
              <w:rPr>
                <w:rFonts w:eastAsia="Calibri"/>
                <w:noProof/>
              </w:rPr>
            </w:pPr>
          </w:p>
          <w:p w14:paraId="49DC05CD" w14:textId="77777777" w:rsidR="00B93F39" w:rsidRPr="0094211C" w:rsidRDefault="00B93F39" w:rsidP="00B93F39">
            <w:pPr>
              <w:jc w:val="center"/>
              <w:rPr>
                <w:noProof/>
              </w:rPr>
            </w:pPr>
          </w:p>
          <w:p w14:paraId="23ED7908" w14:textId="77777777" w:rsidR="00B93F39" w:rsidRPr="0094211C" w:rsidRDefault="00B93F39" w:rsidP="00B93F39">
            <w:pPr>
              <w:jc w:val="center"/>
              <w:rPr>
                <w:rFonts w:eastAsia="Calibri"/>
                <w:noProof/>
              </w:rPr>
            </w:pPr>
          </w:p>
        </w:tc>
        <w:tc>
          <w:tcPr>
            <w:tcW w:w="12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848FA2D" w14:textId="77777777" w:rsidR="00B93F39" w:rsidRPr="0094211C" w:rsidRDefault="00B93F39" w:rsidP="00B93F39">
            <w:pPr>
              <w:snapToGrid w:val="0"/>
              <w:jc w:val="center"/>
              <w:rPr>
                <w:rFonts w:eastAsia="Calibri"/>
                <w:noProof/>
              </w:rPr>
            </w:pPr>
            <w:r>
              <w:rPr>
                <w:rFonts w:eastAsia="Calibri"/>
                <w:noProof/>
              </w:rPr>
              <w:t>0</w:t>
            </w:r>
          </w:p>
        </w:tc>
        <w:tc>
          <w:tcPr>
            <w:tcW w:w="1134" w:type="dxa"/>
            <w:vMerge w:val="restart"/>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81D6D97" w14:textId="77777777" w:rsidR="00B93F39" w:rsidRPr="0094211C" w:rsidRDefault="00B93F39" w:rsidP="00B93F39">
            <w:pPr>
              <w:snapToGrid w:val="0"/>
              <w:jc w:val="center"/>
              <w:rPr>
                <w:rFonts w:eastAsia="Calibri"/>
                <w:noProof/>
              </w:rPr>
            </w:pPr>
            <w:r>
              <w:rPr>
                <w:rFonts w:eastAsia="Calibri"/>
                <w:noProof/>
              </w:rPr>
              <w:t>X</w:t>
            </w:r>
          </w:p>
          <w:p w14:paraId="4C021FAF" w14:textId="77777777" w:rsidR="00B93F39" w:rsidRPr="0094211C" w:rsidRDefault="00B93F39" w:rsidP="00B93F39">
            <w:pPr>
              <w:jc w:val="center"/>
              <w:rPr>
                <w:rFonts w:eastAsia="Calibri"/>
                <w:noProof/>
              </w:rPr>
            </w:pPr>
          </w:p>
          <w:p w14:paraId="088650A6" w14:textId="77777777" w:rsidR="00B93F39" w:rsidRPr="0094211C" w:rsidRDefault="00B93F39" w:rsidP="00B93F39">
            <w:pPr>
              <w:jc w:val="center"/>
              <w:rPr>
                <w:noProof/>
              </w:rPr>
            </w:pPr>
          </w:p>
          <w:p w14:paraId="058D9C5E" w14:textId="77777777" w:rsidR="00B93F39" w:rsidRPr="0094211C" w:rsidRDefault="00B93F39" w:rsidP="00B93F39">
            <w:pPr>
              <w:jc w:val="center"/>
              <w:rPr>
                <w:rFonts w:eastAsia="Calibri"/>
                <w:noProof/>
              </w:rPr>
            </w:pPr>
          </w:p>
        </w:tc>
        <w:tc>
          <w:tcPr>
            <w:tcW w:w="127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24B47148" w14:textId="77777777" w:rsidR="00B93F39" w:rsidRPr="0094211C" w:rsidRDefault="00B93F39" w:rsidP="00B93F39">
            <w:pPr>
              <w:jc w:val="center"/>
              <w:rPr>
                <w:rFonts w:eastAsia="Calibri"/>
                <w:noProof/>
              </w:rPr>
            </w:pPr>
            <w:r>
              <w:rPr>
                <w:rFonts w:eastAsia="Calibri"/>
                <w:noProof/>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6AA2AC" w14:textId="77777777" w:rsidR="00B93F39" w:rsidRPr="0094211C" w:rsidRDefault="00B93F39" w:rsidP="00B93F39">
            <w:pPr>
              <w:jc w:val="center"/>
              <w:rPr>
                <w:rFonts w:eastAsia="Calibri"/>
                <w:noProof/>
              </w:rPr>
            </w:pPr>
            <w:r>
              <w:rPr>
                <w:rFonts w:eastAsia="Calibri"/>
                <w:noProof/>
              </w:rPr>
              <w:t>0</w:t>
            </w:r>
          </w:p>
        </w:tc>
      </w:tr>
      <w:tr w:rsidR="00B93F39" w:rsidRPr="0094211C" w14:paraId="0799C230" w14:textId="77777777" w:rsidTr="0069144E">
        <w:trPr>
          <w:trHeight w:val="504"/>
        </w:trPr>
        <w:tc>
          <w:tcPr>
            <w:tcW w:w="1704" w:type="dxa"/>
            <w:tcBorders>
              <w:top w:val="single" w:sz="4" w:space="0" w:color="000000"/>
              <w:left w:val="single" w:sz="4" w:space="0" w:color="000000"/>
              <w:bottom w:val="single" w:sz="4" w:space="0" w:color="000000"/>
            </w:tcBorders>
            <w:shd w:val="clear" w:color="auto" w:fill="auto"/>
          </w:tcPr>
          <w:p w14:paraId="5D506516" w14:textId="77777777" w:rsidR="00B93F39" w:rsidRPr="0094211C" w:rsidRDefault="00B93F39" w:rsidP="00B93F39">
            <w:pPr>
              <w:rPr>
                <w:rFonts w:eastAsia="Calibri"/>
                <w:noProof/>
              </w:rPr>
            </w:pPr>
            <w:r w:rsidRPr="0094211C">
              <w:rPr>
                <w:noProof/>
              </w:rPr>
              <w:t>5.1. valsts pamatbudžets</w:t>
            </w:r>
          </w:p>
        </w:tc>
        <w:tc>
          <w:tcPr>
            <w:tcW w:w="1131"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042EC42" w14:textId="77777777" w:rsidR="00B93F39" w:rsidRPr="0094211C" w:rsidRDefault="00B93F39" w:rsidP="00B93F39">
            <w:pPr>
              <w:snapToGrid w:val="0"/>
              <w:jc w:val="center"/>
              <w:rPr>
                <w:rFonts w:eastAsia="Calibri"/>
                <w:noProof/>
              </w:rPr>
            </w:pPr>
          </w:p>
        </w:tc>
        <w:tc>
          <w:tcPr>
            <w:tcW w:w="993" w:type="dxa"/>
            <w:tcBorders>
              <w:top w:val="single" w:sz="4" w:space="0" w:color="000000"/>
              <w:left w:val="single" w:sz="4" w:space="0" w:color="000000"/>
              <w:bottom w:val="single" w:sz="4" w:space="0" w:color="000000"/>
            </w:tcBorders>
            <w:shd w:val="clear" w:color="auto" w:fill="auto"/>
            <w:vAlign w:val="center"/>
          </w:tcPr>
          <w:p w14:paraId="526E9610" w14:textId="77777777" w:rsidR="00B93F39" w:rsidRPr="0094211C" w:rsidRDefault="00B93F39" w:rsidP="00B93F39">
            <w:pPr>
              <w:jc w:val="center"/>
              <w:rPr>
                <w:rFonts w:eastAsia="Calibri"/>
                <w:noProof/>
              </w:rPr>
            </w:pPr>
            <w:r>
              <w:rPr>
                <w:rFonts w:eastAsia="Calibri"/>
                <w:noProof/>
              </w:rPr>
              <w:t>0</w:t>
            </w:r>
          </w:p>
        </w:tc>
        <w:tc>
          <w:tcPr>
            <w:tcW w:w="1134"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77FC7D7" w14:textId="77777777" w:rsidR="00B93F39" w:rsidRPr="0094211C" w:rsidRDefault="00B93F39" w:rsidP="00B93F39">
            <w:pPr>
              <w:snapToGrid w:val="0"/>
              <w:jc w:val="center"/>
              <w:rPr>
                <w:rFonts w:eastAsia="Calibri"/>
                <w:noProof/>
              </w:rPr>
            </w:pPr>
          </w:p>
        </w:tc>
        <w:tc>
          <w:tcPr>
            <w:tcW w:w="1275" w:type="dxa"/>
            <w:tcBorders>
              <w:top w:val="single" w:sz="4" w:space="0" w:color="000000"/>
              <w:left w:val="single" w:sz="4" w:space="0" w:color="000000"/>
              <w:bottom w:val="single" w:sz="4" w:space="0" w:color="000000"/>
            </w:tcBorders>
            <w:shd w:val="clear" w:color="auto" w:fill="auto"/>
            <w:vAlign w:val="center"/>
          </w:tcPr>
          <w:p w14:paraId="7C226FC0" w14:textId="77777777" w:rsidR="00B93F39" w:rsidRPr="0094211C" w:rsidRDefault="00B93F39" w:rsidP="00B93F39">
            <w:pPr>
              <w:jc w:val="center"/>
              <w:rPr>
                <w:rFonts w:eastAsia="Calibri"/>
                <w:noProof/>
              </w:rPr>
            </w:pPr>
            <w:r>
              <w:rPr>
                <w:rFonts w:eastAsia="Calibri"/>
                <w:noProof/>
              </w:rPr>
              <w:t>0</w:t>
            </w:r>
          </w:p>
        </w:tc>
        <w:tc>
          <w:tcPr>
            <w:tcW w:w="1134"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0260146" w14:textId="77777777" w:rsidR="00B93F39" w:rsidRPr="0094211C" w:rsidRDefault="00B93F39" w:rsidP="00B93F39">
            <w:pPr>
              <w:snapToGrid w:val="0"/>
              <w:jc w:val="center"/>
              <w:rPr>
                <w:rFonts w:eastAsia="Calibri"/>
                <w:noProof/>
              </w:rPr>
            </w:pPr>
          </w:p>
        </w:tc>
        <w:tc>
          <w:tcPr>
            <w:tcW w:w="1276" w:type="dxa"/>
            <w:tcBorders>
              <w:top w:val="single" w:sz="4" w:space="0" w:color="000000"/>
              <w:left w:val="single" w:sz="4" w:space="0" w:color="000000"/>
              <w:bottom w:val="single" w:sz="4" w:space="0" w:color="000000"/>
            </w:tcBorders>
            <w:shd w:val="clear" w:color="auto" w:fill="auto"/>
            <w:vAlign w:val="center"/>
          </w:tcPr>
          <w:p w14:paraId="5D0BC341" w14:textId="77777777" w:rsidR="00B93F39" w:rsidRPr="0094211C" w:rsidRDefault="00B93F39" w:rsidP="00B93F39">
            <w:pPr>
              <w:jc w:val="center"/>
              <w:rPr>
                <w:rFonts w:eastAsia="Calibri"/>
                <w:noProof/>
              </w:rPr>
            </w:pPr>
            <w:r>
              <w:rPr>
                <w:rFonts w:eastAsia="Calibri"/>
                <w:noProof/>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4E72E0" w14:textId="77777777" w:rsidR="00B93F39" w:rsidRPr="0094211C" w:rsidRDefault="00B93F39" w:rsidP="00B93F39">
            <w:pPr>
              <w:jc w:val="center"/>
              <w:rPr>
                <w:rFonts w:eastAsia="Calibri"/>
                <w:noProof/>
              </w:rPr>
            </w:pPr>
            <w:r>
              <w:rPr>
                <w:rFonts w:eastAsia="Calibri"/>
                <w:noProof/>
              </w:rPr>
              <w:t>0</w:t>
            </w:r>
          </w:p>
        </w:tc>
      </w:tr>
      <w:tr w:rsidR="00B93F39" w:rsidRPr="0094211C" w14:paraId="66A2A1AA" w14:textId="77777777" w:rsidTr="0069144E">
        <w:trPr>
          <w:trHeight w:val="518"/>
        </w:trPr>
        <w:tc>
          <w:tcPr>
            <w:tcW w:w="1704" w:type="dxa"/>
            <w:tcBorders>
              <w:top w:val="single" w:sz="4" w:space="0" w:color="000000"/>
              <w:left w:val="single" w:sz="4" w:space="0" w:color="000000"/>
              <w:bottom w:val="single" w:sz="4" w:space="0" w:color="000000"/>
            </w:tcBorders>
            <w:shd w:val="clear" w:color="auto" w:fill="auto"/>
          </w:tcPr>
          <w:p w14:paraId="30BB5181" w14:textId="77777777" w:rsidR="00B93F39" w:rsidRPr="0094211C" w:rsidRDefault="00B93F39" w:rsidP="00B93F39">
            <w:pPr>
              <w:rPr>
                <w:rFonts w:eastAsia="Calibri"/>
                <w:noProof/>
              </w:rPr>
            </w:pPr>
            <w:r w:rsidRPr="0094211C">
              <w:rPr>
                <w:noProof/>
              </w:rPr>
              <w:t>5.2. speciālais budžets</w:t>
            </w:r>
          </w:p>
        </w:tc>
        <w:tc>
          <w:tcPr>
            <w:tcW w:w="1131"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D327FD5" w14:textId="77777777" w:rsidR="00B93F39" w:rsidRPr="0094211C" w:rsidRDefault="00B93F39" w:rsidP="00B93F39">
            <w:pPr>
              <w:snapToGrid w:val="0"/>
              <w:jc w:val="center"/>
              <w:rPr>
                <w:rFonts w:eastAsia="Calibri"/>
                <w:noProof/>
              </w:rPr>
            </w:pPr>
          </w:p>
        </w:tc>
        <w:tc>
          <w:tcPr>
            <w:tcW w:w="993" w:type="dxa"/>
            <w:tcBorders>
              <w:top w:val="single" w:sz="4" w:space="0" w:color="000000"/>
              <w:left w:val="single" w:sz="4" w:space="0" w:color="000000"/>
              <w:bottom w:val="single" w:sz="4" w:space="0" w:color="000000"/>
            </w:tcBorders>
            <w:shd w:val="clear" w:color="auto" w:fill="auto"/>
            <w:vAlign w:val="center"/>
          </w:tcPr>
          <w:p w14:paraId="355ECA2C" w14:textId="77777777" w:rsidR="00B93F39" w:rsidRPr="0094211C" w:rsidRDefault="00B93F39" w:rsidP="00B93F39">
            <w:pPr>
              <w:jc w:val="center"/>
              <w:rPr>
                <w:rFonts w:eastAsia="Calibri"/>
                <w:noProof/>
              </w:rPr>
            </w:pPr>
            <w:r>
              <w:rPr>
                <w:rFonts w:eastAsia="Calibri"/>
                <w:noProof/>
              </w:rPr>
              <w:t>0</w:t>
            </w:r>
          </w:p>
        </w:tc>
        <w:tc>
          <w:tcPr>
            <w:tcW w:w="1134"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107ED1E1" w14:textId="77777777" w:rsidR="00B93F39" w:rsidRPr="0094211C" w:rsidRDefault="00B93F39" w:rsidP="00B93F39">
            <w:pPr>
              <w:snapToGrid w:val="0"/>
              <w:jc w:val="center"/>
              <w:rPr>
                <w:rFonts w:eastAsia="Calibri"/>
                <w:noProof/>
              </w:rPr>
            </w:pPr>
          </w:p>
        </w:tc>
        <w:tc>
          <w:tcPr>
            <w:tcW w:w="1275" w:type="dxa"/>
            <w:tcBorders>
              <w:top w:val="single" w:sz="4" w:space="0" w:color="000000"/>
              <w:left w:val="single" w:sz="4" w:space="0" w:color="000000"/>
              <w:bottom w:val="single" w:sz="4" w:space="0" w:color="000000"/>
            </w:tcBorders>
            <w:shd w:val="clear" w:color="auto" w:fill="auto"/>
            <w:vAlign w:val="center"/>
          </w:tcPr>
          <w:p w14:paraId="6C465AAF" w14:textId="77777777" w:rsidR="00B93F39" w:rsidRPr="0094211C" w:rsidRDefault="00B93F39" w:rsidP="00B93F39">
            <w:pPr>
              <w:jc w:val="center"/>
              <w:rPr>
                <w:rFonts w:eastAsia="Calibri"/>
                <w:noProof/>
              </w:rPr>
            </w:pPr>
            <w:r>
              <w:rPr>
                <w:rFonts w:eastAsia="Calibri"/>
                <w:noProof/>
              </w:rPr>
              <w:t>0</w:t>
            </w:r>
          </w:p>
        </w:tc>
        <w:tc>
          <w:tcPr>
            <w:tcW w:w="1134"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211E362" w14:textId="77777777" w:rsidR="00B93F39" w:rsidRPr="0094211C" w:rsidRDefault="00B93F39" w:rsidP="00B93F39">
            <w:pPr>
              <w:snapToGrid w:val="0"/>
              <w:jc w:val="center"/>
              <w:rPr>
                <w:rFonts w:eastAsia="Calibri"/>
                <w:noProof/>
              </w:rPr>
            </w:pPr>
          </w:p>
        </w:tc>
        <w:tc>
          <w:tcPr>
            <w:tcW w:w="1276" w:type="dxa"/>
            <w:tcBorders>
              <w:top w:val="single" w:sz="4" w:space="0" w:color="000000"/>
              <w:left w:val="single" w:sz="4" w:space="0" w:color="000000"/>
              <w:bottom w:val="single" w:sz="4" w:space="0" w:color="000000"/>
            </w:tcBorders>
            <w:shd w:val="clear" w:color="auto" w:fill="auto"/>
            <w:vAlign w:val="center"/>
          </w:tcPr>
          <w:p w14:paraId="634D1186" w14:textId="77777777" w:rsidR="00B93F39" w:rsidRPr="0094211C" w:rsidRDefault="00B93F39" w:rsidP="00B93F39">
            <w:pPr>
              <w:jc w:val="center"/>
              <w:rPr>
                <w:rFonts w:eastAsia="Calibri"/>
                <w:noProof/>
              </w:rPr>
            </w:pPr>
            <w:r>
              <w:rPr>
                <w:rFonts w:eastAsia="Calibri"/>
                <w:noProof/>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A6233D" w14:textId="77777777" w:rsidR="00B93F39" w:rsidRPr="0094211C" w:rsidRDefault="00B93F39" w:rsidP="00B93F39">
            <w:pPr>
              <w:jc w:val="center"/>
              <w:rPr>
                <w:rFonts w:eastAsia="Calibri"/>
                <w:noProof/>
              </w:rPr>
            </w:pPr>
            <w:r>
              <w:rPr>
                <w:rFonts w:eastAsia="Calibri"/>
                <w:noProof/>
              </w:rPr>
              <w:t>0</w:t>
            </w:r>
          </w:p>
        </w:tc>
      </w:tr>
      <w:tr w:rsidR="00B93F39" w:rsidRPr="0094211C" w14:paraId="499792B9" w14:textId="77777777" w:rsidTr="0069144E">
        <w:trPr>
          <w:trHeight w:val="1015"/>
        </w:trPr>
        <w:tc>
          <w:tcPr>
            <w:tcW w:w="1704" w:type="dxa"/>
            <w:tcBorders>
              <w:top w:val="single" w:sz="4" w:space="0" w:color="000000"/>
              <w:left w:val="single" w:sz="4" w:space="0" w:color="000000"/>
              <w:bottom w:val="single" w:sz="4" w:space="0" w:color="000000"/>
            </w:tcBorders>
            <w:shd w:val="clear" w:color="auto" w:fill="auto"/>
          </w:tcPr>
          <w:p w14:paraId="0820F40B" w14:textId="77777777" w:rsidR="00B93F39" w:rsidRPr="0094211C" w:rsidRDefault="00B93F39" w:rsidP="00B93F39">
            <w:pPr>
              <w:rPr>
                <w:rFonts w:eastAsia="Calibri"/>
                <w:noProof/>
              </w:rPr>
            </w:pPr>
            <w:r w:rsidRPr="0094211C">
              <w:rPr>
                <w:noProof/>
              </w:rPr>
              <w:t>5.3. pašvaldību budžets</w:t>
            </w:r>
          </w:p>
        </w:tc>
        <w:tc>
          <w:tcPr>
            <w:tcW w:w="1131"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33EF214" w14:textId="77777777" w:rsidR="00B93F39" w:rsidRPr="0094211C" w:rsidRDefault="00B93F39" w:rsidP="00B93F39">
            <w:pPr>
              <w:snapToGrid w:val="0"/>
              <w:jc w:val="center"/>
              <w:rPr>
                <w:rFonts w:eastAsia="Calibri"/>
                <w:noProof/>
              </w:rPr>
            </w:pPr>
          </w:p>
        </w:tc>
        <w:tc>
          <w:tcPr>
            <w:tcW w:w="993" w:type="dxa"/>
            <w:tcBorders>
              <w:top w:val="single" w:sz="4" w:space="0" w:color="000000"/>
              <w:left w:val="single" w:sz="4" w:space="0" w:color="000000"/>
              <w:bottom w:val="single" w:sz="4" w:space="0" w:color="000000"/>
            </w:tcBorders>
            <w:shd w:val="clear" w:color="auto" w:fill="auto"/>
            <w:vAlign w:val="center"/>
          </w:tcPr>
          <w:p w14:paraId="50D9F049" w14:textId="77777777" w:rsidR="00B93F39" w:rsidRPr="0094211C" w:rsidRDefault="00B93F39" w:rsidP="00B93F39">
            <w:pPr>
              <w:jc w:val="center"/>
              <w:rPr>
                <w:rFonts w:eastAsia="Calibri"/>
                <w:noProof/>
              </w:rPr>
            </w:pPr>
            <w:r>
              <w:rPr>
                <w:rFonts w:eastAsia="Calibri"/>
                <w:noProof/>
              </w:rPr>
              <w:t>0</w:t>
            </w:r>
          </w:p>
        </w:tc>
        <w:tc>
          <w:tcPr>
            <w:tcW w:w="1134"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3E406A5" w14:textId="77777777" w:rsidR="00B93F39" w:rsidRPr="0094211C" w:rsidRDefault="00B93F39" w:rsidP="00B93F39">
            <w:pPr>
              <w:snapToGrid w:val="0"/>
              <w:jc w:val="center"/>
              <w:rPr>
                <w:rFonts w:eastAsia="Calibri"/>
                <w:noProof/>
              </w:rPr>
            </w:pPr>
          </w:p>
        </w:tc>
        <w:tc>
          <w:tcPr>
            <w:tcW w:w="1275" w:type="dxa"/>
            <w:tcBorders>
              <w:top w:val="single" w:sz="4" w:space="0" w:color="000000"/>
              <w:left w:val="single" w:sz="4" w:space="0" w:color="000000"/>
              <w:bottom w:val="single" w:sz="4" w:space="0" w:color="000000"/>
            </w:tcBorders>
            <w:shd w:val="clear" w:color="auto" w:fill="auto"/>
            <w:vAlign w:val="center"/>
          </w:tcPr>
          <w:p w14:paraId="6DDFD7E2" w14:textId="77777777" w:rsidR="00B93F39" w:rsidRPr="0094211C" w:rsidRDefault="00B93F39" w:rsidP="00B93F39">
            <w:pPr>
              <w:jc w:val="center"/>
              <w:rPr>
                <w:rFonts w:eastAsia="Calibri"/>
                <w:noProof/>
              </w:rPr>
            </w:pPr>
            <w:r>
              <w:rPr>
                <w:rFonts w:eastAsia="Calibri"/>
                <w:noProof/>
              </w:rPr>
              <w:t>0</w:t>
            </w:r>
          </w:p>
        </w:tc>
        <w:tc>
          <w:tcPr>
            <w:tcW w:w="1134" w:type="dxa"/>
            <w:vMerge/>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3F69E12D" w14:textId="77777777" w:rsidR="00B93F39" w:rsidRPr="0094211C" w:rsidRDefault="00B93F39" w:rsidP="00B93F39">
            <w:pPr>
              <w:snapToGrid w:val="0"/>
              <w:jc w:val="center"/>
              <w:rPr>
                <w:rFonts w:eastAsia="Calibri"/>
                <w:noProof/>
              </w:rPr>
            </w:pPr>
          </w:p>
        </w:tc>
        <w:tc>
          <w:tcPr>
            <w:tcW w:w="1276" w:type="dxa"/>
            <w:tcBorders>
              <w:top w:val="single" w:sz="4" w:space="0" w:color="000000"/>
              <w:left w:val="single" w:sz="4" w:space="0" w:color="000000"/>
              <w:bottom w:val="single" w:sz="4" w:space="0" w:color="000000"/>
            </w:tcBorders>
            <w:shd w:val="clear" w:color="auto" w:fill="auto"/>
            <w:vAlign w:val="center"/>
          </w:tcPr>
          <w:p w14:paraId="5BF060B9" w14:textId="77777777" w:rsidR="00B93F39" w:rsidRPr="0094211C" w:rsidRDefault="00B93F39" w:rsidP="00B93F39">
            <w:pPr>
              <w:jc w:val="center"/>
              <w:rPr>
                <w:rFonts w:eastAsia="Calibri"/>
                <w:noProof/>
              </w:rPr>
            </w:pPr>
            <w:r>
              <w:rPr>
                <w:rFonts w:eastAsia="Calibri"/>
                <w:noProof/>
              </w:rPr>
              <w:t>0</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BB9032" w14:textId="77777777" w:rsidR="00B93F39" w:rsidRPr="0094211C" w:rsidRDefault="00B93F39" w:rsidP="00B93F39">
            <w:pPr>
              <w:jc w:val="center"/>
              <w:rPr>
                <w:rFonts w:eastAsia="Calibri"/>
                <w:noProof/>
              </w:rPr>
            </w:pPr>
            <w:r>
              <w:rPr>
                <w:rFonts w:eastAsia="Calibri"/>
                <w:noProof/>
              </w:rPr>
              <w:t>0</w:t>
            </w:r>
          </w:p>
        </w:tc>
      </w:tr>
      <w:tr w:rsidR="00B93F39" w:rsidRPr="0094211C" w14:paraId="592051E5" w14:textId="77777777" w:rsidTr="0069144E">
        <w:trPr>
          <w:trHeight w:val="1917"/>
        </w:trPr>
        <w:tc>
          <w:tcPr>
            <w:tcW w:w="1704" w:type="dxa"/>
            <w:tcBorders>
              <w:top w:val="single" w:sz="4" w:space="0" w:color="000000"/>
              <w:left w:val="single" w:sz="4" w:space="0" w:color="000000"/>
              <w:bottom w:val="single" w:sz="4" w:space="0" w:color="000000"/>
            </w:tcBorders>
            <w:shd w:val="clear" w:color="auto" w:fill="auto"/>
          </w:tcPr>
          <w:p w14:paraId="56E4A4C3" w14:textId="77777777" w:rsidR="00B93F39" w:rsidRPr="0094211C" w:rsidRDefault="00B93F39" w:rsidP="00B93F39">
            <w:pPr>
              <w:rPr>
                <w:rFonts w:eastAsia="Calibri"/>
                <w:noProof/>
              </w:rPr>
            </w:pPr>
            <w:r w:rsidRPr="0094211C">
              <w:rPr>
                <w:noProof/>
              </w:rPr>
              <w:t>6. Detalizēts ieņēmumu un izdevumu aprēķins (ja nepieciešams, detalizētu ieņēmumu un izdevumu aprēķinu var pievienot anotācijas pielikumā)</w:t>
            </w:r>
          </w:p>
        </w:tc>
        <w:tc>
          <w:tcPr>
            <w:tcW w:w="822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91B9B7" w14:textId="77777777" w:rsidR="00B93F39" w:rsidRPr="0094211C" w:rsidRDefault="00B93F39" w:rsidP="00B93F39">
            <w:pPr>
              <w:jc w:val="both"/>
              <w:rPr>
                <w:rFonts w:eastAsia="Calibri"/>
                <w:noProof/>
              </w:rPr>
            </w:pPr>
            <w:r w:rsidRPr="0094211C">
              <w:rPr>
                <w:rFonts w:eastAsia="Calibri"/>
                <w:noProof/>
              </w:rPr>
              <w:t xml:space="preserve">Šobrīd viena spēļu automāta azartspēļu nodokļa likme ir 4164 </w:t>
            </w:r>
            <w:r w:rsidRPr="0094211C">
              <w:rPr>
                <w:rFonts w:eastAsia="Calibri"/>
                <w:i/>
                <w:noProof/>
              </w:rPr>
              <w:t>euro</w:t>
            </w:r>
            <w:r w:rsidRPr="0094211C">
              <w:rPr>
                <w:rFonts w:eastAsia="Calibri"/>
                <w:noProof/>
              </w:rPr>
              <w:t xml:space="preserve"> gadā. Likmi paaugstinot par 44% jeb uz 6000 euro par vienu spēļu automātu, tiek prognozēts 5,0% automātu skaita samazinājums (no 8680 vidēji gadā uz 8247 vidēji gadā). Līdz ar to fiskālā ietekme attiecībā uz azartspēļu nodokli tiek prognozēta 13,338 milj. euro gadā. </w:t>
            </w:r>
          </w:p>
          <w:p w14:paraId="1D8E5209" w14:textId="77777777" w:rsidR="00B93F39" w:rsidRPr="0094211C" w:rsidRDefault="00B93F39" w:rsidP="00B93F39">
            <w:pPr>
              <w:jc w:val="both"/>
              <w:rPr>
                <w:rFonts w:eastAsia="Calibri"/>
                <w:noProof/>
              </w:rPr>
            </w:pPr>
          </w:p>
          <w:p w14:paraId="77EDF1B7" w14:textId="77777777" w:rsidR="00B93F39" w:rsidRPr="0094211C" w:rsidRDefault="00B93F39" w:rsidP="00B93F39">
            <w:pPr>
              <w:jc w:val="both"/>
              <w:rPr>
                <w:rFonts w:eastAsia="Calibri"/>
                <w:noProof/>
              </w:rPr>
            </w:pPr>
            <w:r w:rsidRPr="0094211C">
              <w:rPr>
                <w:rFonts w:eastAsia="Calibri"/>
                <w:noProof/>
              </w:rPr>
              <w:t>Šobrīd likme ruletei un kāršu un kauliņu  spēlei (par katru galdu) ir 23 400 euro gadā. Likmi paaugstinot par 20% jeb uz 28 080 euro par vienu galdu, tiek prognozēts 12,9% galdu skaita samazinājums pret iepriekš plānoto (no 70 galdiem vidēji 2020.gadā un turpmāk uz 61 galdu gadā, kas ir šobrīd faktiski esošais galdu skaits). Līdz ar to fiskālā ietekme azarstpēļu nodokļa ieņēmumos tiek prognozēta 0,075 milj. euro gadā.</w:t>
            </w:r>
          </w:p>
          <w:p w14:paraId="7E5F007F" w14:textId="77777777" w:rsidR="00B93F39" w:rsidRPr="0094211C" w:rsidRDefault="00B93F39" w:rsidP="00B93F39">
            <w:pPr>
              <w:jc w:val="both"/>
              <w:rPr>
                <w:rFonts w:eastAsia="Calibri"/>
                <w:noProof/>
              </w:rPr>
            </w:pPr>
          </w:p>
          <w:p w14:paraId="1DA314A1" w14:textId="77777777" w:rsidR="00B93F39" w:rsidRPr="0094211C" w:rsidRDefault="00B93F39" w:rsidP="00B93F39">
            <w:pPr>
              <w:jc w:val="both"/>
              <w:rPr>
                <w:rFonts w:eastAsia="Calibri"/>
                <w:noProof/>
              </w:rPr>
            </w:pPr>
            <w:r w:rsidRPr="0094211C">
              <w:rPr>
                <w:rFonts w:eastAsia="Calibri"/>
                <w:noProof/>
              </w:rPr>
              <w:t>Papildus ietekmi attiecībā uz valsts budžetu un pašvaldību budžetu rada azartspēļu nodokļa proporcijas maiņa. Iepriekš esošo sadalījumu 75% valsts budžetā un 25% pašvaldību budžetā, aizstājot ar attiecīgi 78% un 22%, rodas pozitīva fiskālā ietekme uz valsts budžetu un tāda paša apmēra negatīva ietekme uz pašvaldību budžetu.</w:t>
            </w:r>
          </w:p>
          <w:p w14:paraId="145B2E25" w14:textId="77777777" w:rsidR="00B93F39" w:rsidRPr="0094211C" w:rsidRDefault="00B93F39" w:rsidP="00B93F39">
            <w:pPr>
              <w:jc w:val="both"/>
              <w:rPr>
                <w:rFonts w:eastAsia="Calibri"/>
                <w:noProof/>
              </w:rPr>
            </w:pPr>
          </w:p>
          <w:p w14:paraId="09060A20" w14:textId="77777777" w:rsidR="00B93F39" w:rsidRPr="0094211C" w:rsidRDefault="00B93F39" w:rsidP="00B93F39">
            <w:pPr>
              <w:jc w:val="both"/>
              <w:rPr>
                <w:rFonts w:eastAsia="Calibri"/>
                <w:noProof/>
              </w:rPr>
            </w:pPr>
            <w:r w:rsidRPr="0094211C">
              <w:rPr>
                <w:rFonts w:eastAsia="Calibri"/>
                <w:noProof/>
              </w:rPr>
              <w:t>Ietekmes milj. euro sadalījumā pa budžetiem un pasākumiem:</w:t>
            </w:r>
          </w:p>
          <w:tbl>
            <w:tblPr>
              <w:tblW w:w="8078" w:type="dxa"/>
              <w:tblLayout w:type="fixed"/>
              <w:tblLook w:val="04A0" w:firstRow="1" w:lastRow="0" w:firstColumn="1" w:lastColumn="0" w:noHBand="0" w:noVBand="1"/>
            </w:tblPr>
            <w:tblGrid>
              <w:gridCol w:w="4734"/>
              <w:gridCol w:w="1115"/>
              <w:gridCol w:w="1253"/>
              <w:gridCol w:w="976"/>
            </w:tblGrid>
            <w:tr w:rsidR="00B93F39" w:rsidRPr="0094211C" w14:paraId="43823D16" w14:textId="77777777" w:rsidTr="004E7C73">
              <w:trPr>
                <w:trHeight w:val="191"/>
              </w:trPr>
              <w:tc>
                <w:tcPr>
                  <w:tcW w:w="4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F2872" w14:textId="77777777" w:rsidR="00B93F39" w:rsidRPr="0094211C" w:rsidRDefault="00B93F39" w:rsidP="00B93F39">
                  <w:pPr>
                    <w:rPr>
                      <w:noProof/>
                      <w:color w:val="000000"/>
                    </w:rPr>
                  </w:pPr>
                  <w:r w:rsidRPr="0094211C">
                    <w:rPr>
                      <w:noProof/>
                      <w:color w:val="000000"/>
                    </w:rPr>
                    <w:t> </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0B7F6772" w14:textId="77777777" w:rsidR="00B93F39" w:rsidRPr="0094211C" w:rsidRDefault="00B93F39" w:rsidP="00B93F39">
                  <w:pPr>
                    <w:rPr>
                      <w:noProof/>
                      <w:color w:val="000000"/>
                    </w:rPr>
                  </w:pPr>
                  <w:r w:rsidRPr="0094211C">
                    <w:rPr>
                      <w:noProof/>
                      <w:color w:val="000000"/>
                    </w:rPr>
                    <w:t>Valsts budžetā</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14:paraId="31B04593" w14:textId="77777777" w:rsidR="00B93F39" w:rsidRPr="0094211C" w:rsidRDefault="00B93F39" w:rsidP="00B93F39">
                  <w:pPr>
                    <w:rPr>
                      <w:noProof/>
                      <w:color w:val="000000"/>
                    </w:rPr>
                  </w:pPr>
                  <w:r w:rsidRPr="0094211C">
                    <w:rPr>
                      <w:noProof/>
                      <w:color w:val="000000"/>
                    </w:rPr>
                    <w:t>Pašvaldību budžetā</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14:paraId="5269E4FA" w14:textId="77777777" w:rsidR="00B93F39" w:rsidRPr="0094211C" w:rsidRDefault="00B93F39" w:rsidP="00B93F39">
                  <w:pPr>
                    <w:rPr>
                      <w:b/>
                      <w:bCs/>
                      <w:noProof/>
                      <w:color w:val="000000"/>
                    </w:rPr>
                  </w:pPr>
                  <w:r w:rsidRPr="0094211C">
                    <w:rPr>
                      <w:b/>
                      <w:bCs/>
                      <w:noProof/>
                      <w:color w:val="000000"/>
                    </w:rPr>
                    <w:t>KOPĀ</w:t>
                  </w:r>
                </w:p>
              </w:tc>
            </w:tr>
            <w:tr w:rsidR="00B93F39" w:rsidRPr="0094211C" w14:paraId="6421AA5A" w14:textId="77777777" w:rsidTr="004E7C73">
              <w:trPr>
                <w:trHeight w:val="191"/>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766E4EE7" w14:textId="77777777" w:rsidR="00B93F39" w:rsidRPr="0094211C" w:rsidRDefault="00B93F39" w:rsidP="00B93F39">
                  <w:pPr>
                    <w:rPr>
                      <w:noProof/>
                      <w:color w:val="000000"/>
                    </w:rPr>
                  </w:pPr>
                  <w:r w:rsidRPr="0094211C">
                    <w:rPr>
                      <w:noProof/>
                      <w:color w:val="000000"/>
                    </w:rPr>
                    <w:t>Automātu likmju celšana ar jauno sadalījumu pa budžetiem</w:t>
                  </w:r>
                </w:p>
              </w:tc>
              <w:tc>
                <w:tcPr>
                  <w:tcW w:w="1115" w:type="dxa"/>
                  <w:tcBorders>
                    <w:top w:val="nil"/>
                    <w:left w:val="nil"/>
                    <w:bottom w:val="single" w:sz="4" w:space="0" w:color="auto"/>
                    <w:right w:val="single" w:sz="4" w:space="0" w:color="auto"/>
                  </w:tcBorders>
                  <w:shd w:val="clear" w:color="auto" w:fill="auto"/>
                  <w:noWrap/>
                  <w:vAlign w:val="bottom"/>
                  <w:hideMark/>
                </w:tcPr>
                <w:p w14:paraId="00D5F2ED" w14:textId="77777777" w:rsidR="00B93F39" w:rsidRPr="0094211C" w:rsidRDefault="00B93F39" w:rsidP="00B93F39">
                  <w:pPr>
                    <w:jc w:val="right"/>
                    <w:rPr>
                      <w:noProof/>
                      <w:color w:val="000000"/>
                    </w:rPr>
                  </w:pPr>
                  <w:r w:rsidRPr="0094211C">
                    <w:rPr>
                      <w:noProof/>
                      <w:color w:val="000000"/>
                    </w:rPr>
                    <w:t>10,404</w:t>
                  </w:r>
                </w:p>
              </w:tc>
              <w:tc>
                <w:tcPr>
                  <w:tcW w:w="1253" w:type="dxa"/>
                  <w:tcBorders>
                    <w:top w:val="nil"/>
                    <w:left w:val="nil"/>
                    <w:bottom w:val="single" w:sz="4" w:space="0" w:color="auto"/>
                    <w:right w:val="single" w:sz="4" w:space="0" w:color="auto"/>
                  </w:tcBorders>
                  <w:shd w:val="clear" w:color="auto" w:fill="auto"/>
                  <w:noWrap/>
                  <w:vAlign w:val="bottom"/>
                  <w:hideMark/>
                </w:tcPr>
                <w:p w14:paraId="2AD51D14" w14:textId="77777777" w:rsidR="00B93F39" w:rsidRPr="0094211C" w:rsidRDefault="00B93F39" w:rsidP="00B93F39">
                  <w:pPr>
                    <w:jc w:val="right"/>
                    <w:rPr>
                      <w:noProof/>
                      <w:color w:val="000000"/>
                    </w:rPr>
                  </w:pPr>
                  <w:r w:rsidRPr="0094211C">
                    <w:rPr>
                      <w:noProof/>
                      <w:color w:val="000000"/>
                    </w:rPr>
                    <w:t>2,934</w:t>
                  </w:r>
                </w:p>
              </w:tc>
              <w:tc>
                <w:tcPr>
                  <w:tcW w:w="976" w:type="dxa"/>
                  <w:tcBorders>
                    <w:top w:val="nil"/>
                    <w:left w:val="nil"/>
                    <w:bottom w:val="single" w:sz="4" w:space="0" w:color="auto"/>
                    <w:right w:val="single" w:sz="4" w:space="0" w:color="auto"/>
                  </w:tcBorders>
                  <w:shd w:val="clear" w:color="auto" w:fill="auto"/>
                  <w:noWrap/>
                  <w:vAlign w:val="bottom"/>
                  <w:hideMark/>
                </w:tcPr>
                <w:p w14:paraId="4CC95DD6" w14:textId="77777777" w:rsidR="00B93F39" w:rsidRPr="0094211C" w:rsidRDefault="00B93F39" w:rsidP="00B93F39">
                  <w:pPr>
                    <w:jc w:val="right"/>
                    <w:rPr>
                      <w:b/>
                      <w:bCs/>
                      <w:noProof/>
                      <w:color w:val="000000"/>
                    </w:rPr>
                  </w:pPr>
                  <w:r w:rsidRPr="0094211C">
                    <w:rPr>
                      <w:b/>
                      <w:bCs/>
                      <w:noProof/>
                      <w:color w:val="000000"/>
                    </w:rPr>
                    <w:t>13,338</w:t>
                  </w:r>
                </w:p>
              </w:tc>
            </w:tr>
            <w:tr w:rsidR="00B93F39" w:rsidRPr="0094211C" w14:paraId="3A83B7CB" w14:textId="77777777" w:rsidTr="004E7C73">
              <w:trPr>
                <w:trHeight w:val="191"/>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7A912B7D" w14:textId="77777777" w:rsidR="00B93F39" w:rsidRPr="0094211C" w:rsidRDefault="00B93F39" w:rsidP="00B93F39">
                  <w:pPr>
                    <w:rPr>
                      <w:noProof/>
                      <w:color w:val="000000"/>
                    </w:rPr>
                  </w:pPr>
                  <w:r w:rsidRPr="0094211C">
                    <w:rPr>
                      <w:noProof/>
                      <w:color w:val="000000"/>
                    </w:rPr>
                    <w:t>Galdu likmju celšana ar jauno sadalījumu pa budžetiem</w:t>
                  </w:r>
                </w:p>
              </w:tc>
              <w:tc>
                <w:tcPr>
                  <w:tcW w:w="1115" w:type="dxa"/>
                  <w:tcBorders>
                    <w:top w:val="nil"/>
                    <w:left w:val="nil"/>
                    <w:bottom w:val="single" w:sz="4" w:space="0" w:color="auto"/>
                    <w:right w:val="single" w:sz="4" w:space="0" w:color="auto"/>
                  </w:tcBorders>
                  <w:shd w:val="clear" w:color="auto" w:fill="auto"/>
                  <w:noWrap/>
                  <w:vAlign w:val="bottom"/>
                  <w:hideMark/>
                </w:tcPr>
                <w:p w14:paraId="2E3E50B9" w14:textId="77777777" w:rsidR="00B93F39" w:rsidRPr="0094211C" w:rsidRDefault="00B93F39" w:rsidP="00B93F39">
                  <w:pPr>
                    <w:jc w:val="right"/>
                    <w:rPr>
                      <w:noProof/>
                      <w:color w:val="000000"/>
                    </w:rPr>
                  </w:pPr>
                  <w:r w:rsidRPr="0094211C">
                    <w:rPr>
                      <w:noProof/>
                      <w:color w:val="000000"/>
                    </w:rPr>
                    <w:t>0,058</w:t>
                  </w:r>
                </w:p>
              </w:tc>
              <w:tc>
                <w:tcPr>
                  <w:tcW w:w="1253" w:type="dxa"/>
                  <w:tcBorders>
                    <w:top w:val="nil"/>
                    <w:left w:val="nil"/>
                    <w:bottom w:val="single" w:sz="4" w:space="0" w:color="auto"/>
                    <w:right w:val="single" w:sz="4" w:space="0" w:color="auto"/>
                  </w:tcBorders>
                  <w:shd w:val="clear" w:color="auto" w:fill="auto"/>
                  <w:noWrap/>
                  <w:vAlign w:val="bottom"/>
                  <w:hideMark/>
                </w:tcPr>
                <w:p w14:paraId="27AB9BDB" w14:textId="77777777" w:rsidR="00B93F39" w:rsidRPr="0094211C" w:rsidRDefault="00B93F39" w:rsidP="00B93F39">
                  <w:pPr>
                    <w:jc w:val="right"/>
                    <w:rPr>
                      <w:noProof/>
                      <w:color w:val="000000"/>
                    </w:rPr>
                  </w:pPr>
                  <w:r w:rsidRPr="0094211C">
                    <w:rPr>
                      <w:noProof/>
                      <w:color w:val="000000"/>
                    </w:rPr>
                    <w:t>0,016</w:t>
                  </w:r>
                </w:p>
              </w:tc>
              <w:tc>
                <w:tcPr>
                  <w:tcW w:w="976" w:type="dxa"/>
                  <w:tcBorders>
                    <w:top w:val="nil"/>
                    <w:left w:val="nil"/>
                    <w:bottom w:val="single" w:sz="4" w:space="0" w:color="auto"/>
                    <w:right w:val="single" w:sz="4" w:space="0" w:color="auto"/>
                  </w:tcBorders>
                  <w:shd w:val="clear" w:color="auto" w:fill="auto"/>
                  <w:noWrap/>
                  <w:vAlign w:val="bottom"/>
                  <w:hideMark/>
                </w:tcPr>
                <w:p w14:paraId="7D86E171" w14:textId="77777777" w:rsidR="00B93F39" w:rsidRPr="0094211C" w:rsidRDefault="00B93F39" w:rsidP="00B93F39">
                  <w:pPr>
                    <w:jc w:val="right"/>
                    <w:rPr>
                      <w:b/>
                      <w:bCs/>
                      <w:noProof/>
                      <w:color w:val="000000"/>
                    </w:rPr>
                  </w:pPr>
                  <w:r w:rsidRPr="0094211C">
                    <w:rPr>
                      <w:b/>
                      <w:bCs/>
                      <w:noProof/>
                      <w:color w:val="000000"/>
                    </w:rPr>
                    <w:t>0,075</w:t>
                  </w:r>
                </w:p>
              </w:tc>
            </w:tr>
            <w:tr w:rsidR="00B93F39" w:rsidRPr="0094211C" w14:paraId="65154024" w14:textId="77777777" w:rsidTr="004E7C73">
              <w:trPr>
                <w:trHeight w:val="383"/>
              </w:trPr>
              <w:tc>
                <w:tcPr>
                  <w:tcW w:w="4734" w:type="dxa"/>
                  <w:tcBorders>
                    <w:top w:val="nil"/>
                    <w:left w:val="single" w:sz="4" w:space="0" w:color="auto"/>
                    <w:bottom w:val="single" w:sz="4" w:space="0" w:color="auto"/>
                    <w:right w:val="single" w:sz="4" w:space="0" w:color="auto"/>
                  </w:tcBorders>
                  <w:shd w:val="clear" w:color="auto" w:fill="auto"/>
                  <w:vAlign w:val="bottom"/>
                  <w:hideMark/>
                </w:tcPr>
                <w:p w14:paraId="6A2EB771" w14:textId="77777777" w:rsidR="00B93F39" w:rsidRPr="0094211C" w:rsidRDefault="00B93F39" w:rsidP="00B93F39">
                  <w:pPr>
                    <w:rPr>
                      <w:noProof/>
                      <w:color w:val="000000"/>
                    </w:rPr>
                  </w:pPr>
                  <w:r w:rsidRPr="0094211C">
                    <w:rPr>
                      <w:noProof/>
                      <w:color w:val="000000"/>
                    </w:rPr>
                    <w:t>Ietekme no sadalījuma maiņas azarstpēļu nodokļa ieņēmumiem pirms likmju celšanas</w:t>
                  </w:r>
                </w:p>
              </w:tc>
              <w:tc>
                <w:tcPr>
                  <w:tcW w:w="1115" w:type="dxa"/>
                  <w:tcBorders>
                    <w:top w:val="nil"/>
                    <w:left w:val="nil"/>
                    <w:bottom w:val="single" w:sz="4" w:space="0" w:color="auto"/>
                    <w:right w:val="single" w:sz="4" w:space="0" w:color="auto"/>
                  </w:tcBorders>
                  <w:shd w:val="clear" w:color="auto" w:fill="auto"/>
                  <w:noWrap/>
                  <w:vAlign w:val="bottom"/>
                  <w:hideMark/>
                </w:tcPr>
                <w:p w14:paraId="1D405BF2" w14:textId="77777777" w:rsidR="00B93F39" w:rsidRPr="0094211C" w:rsidRDefault="00B93F39" w:rsidP="00B93F39">
                  <w:pPr>
                    <w:jc w:val="right"/>
                    <w:rPr>
                      <w:noProof/>
                      <w:color w:val="000000"/>
                    </w:rPr>
                  </w:pPr>
                  <w:r w:rsidRPr="0094211C">
                    <w:rPr>
                      <w:noProof/>
                      <w:color w:val="000000"/>
                    </w:rPr>
                    <w:t>1,145</w:t>
                  </w:r>
                </w:p>
              </w:tc>
              <w:tc>
                <w:tcPr>
                  <w:tcW w:w="1253" w:type="dxa"/>
                  <w:tcBorders>
                    <w:top w:val="nil"/>
                    <w:left w:val="nil"/>
                    <w:bottom w:val="single" w:sz="4" w:space="0" w:color="auto"/>
                    <w:right w:val="single" w:sz="4" w:space="0" w:color="auto"/>
                  </w:tcBorders>
                  <w:shd w:val="clear" w:color="auto" w:fill="auto"/>
                  <w:noWrap/>
                  <w:vAlign w:val="bottom"/>
                  <w:hideMark/>
                </w:tcPr>
                <w:p w14:paraId="491409FC" w14:textId="77777777" w:rsidR="00B93F39" w:rsidRPr="0094211C" w:rsidRDefault="00B93F39" w:rsidP="00B93F39">
                  <w:pPr>
                    <w:jc w:val="right"/>
                    <w:rPr>
                      <w:noProof/>
                      <w:color w:val="000000"/>
                    </w:rPr>
                  </w:pPr>
                  <w:r w:rsidRPr="0094211C">
                    <w:rPr>
                      <w:noProof/>
                      <w:color w:val="000000"/>
                    </w:rPr>
                    <w:t>-1,145</w:t>
                  </w:r>
                </w:p>
              </w:tc>
              <w:tc>
                <w:tcPr>
                  <w:tcW w:w="976" w:type="dxa"/>
                  <w:tcBorders>
                    <w:top w:val="nil"/>
                    <w:left w:val="nil"/>
                    <w:bottom w:val="single" w:sz="4" w:space="0" w:color="auto"/>
                    <w:right w:val="single" w:sz="4" w:space="0" w:color="auto"/>
                  </w:tcBorders>
                  <w:shd w:val="clear" w:color="auto" w:fill="auto"/>
                  <w:noWrap/>
                  <w:vAlign w:val="bottom"/>
                  <w:hideMark/>
                </w:tcPr>
                <w:p w14:paraId="20CFF5CB" w14:textId="77777777" w:rsidR="00B93F39" w:rsidRPr="0094211C" w:rsidRDefault="00B93F39" w:rsidP="00B93F39">
                  <w:pPr>
                    <w:jc w:val="right"/>
                    <w:rPr>
                      <w:b/>
                      <w:bCs/>
                      <w:noProof/>
                      <w:color w:val="000000"/>
                    </w:rPr>
                  </w:pPr>
                  <w:r w:rsidRPr="0094211C">
                    <w:rPr>
                      <w:b/>
                      <w:bCs/>
                      <w:noProof/>
                      <w:color w:val="000000"/>
                    </w:rPr>
                    <w:t>0,000</w:t>
                  </w:r>
                </w:p>
              </w:tc>
            </w:tr>
            <w:tr w:rsidR="00B93F39" w:rsidRPr="0094211C" w14:paraId="3DC745AE" w14:textId="77777777" w:rsidTr="004E7C73">
              <w:trPr>
                <w:trHeight w:val="191"/>
              </w:trPr>
              <w:tc>
                <w:tcPr>
                  <w:tcW w:w="4734" w:type="dxa"/>
                  <w:tcBorders>
                    <w:top w:val="nil"/>
                    <w:left w:val="single" w:sz="4" w:space="0" w:color="auto"/>
                    <w:bottom w:val="single" w:sz="4" w:space="0" w:color="auto"/>
                    <w:right w:val="single" w:sz="4" w:space="0" w:color="auto"/>
                  </w:tcBorders>
                  <w:shd w:val="clear" w:color="auto" w:fill="auto"/>
                  <w:noWrap/>
                  <w:vAlign w:val="bottom"/>
                  <w:hideMark/>
                </w:tcPr>
                <w:p w14:paraId="7B4A8548" w14:textId="77777777" w:rsidR="00B93F39" w:rsidRPr="0094211C" w:rsidRDefault="00B93F39" w:rsidP="00B93F39">
                  <w:pPr>
                    <w:jc w:val="right"/>
                    <w:rPr>
                      <w:b/>
                      <w:bCs/>
                      <w:noProof/>
                      <w:color w:val="000000"/>
                    </w:rPr>
                  </w:pPr>
                  <w:r w:rsidRPr="0094211C">
                    <w:rPr>
                      <w:b/>
                      <w:bCs/>
                      <w:noProof/>
                      <w:color w:val="000000"/>
                    </w:rPr>
                    <w:t>KOPĀ</w:t>
                  </w:r>
                </w:p>
              </w:tc>
              <w:tc>
                <w:tcPr>
                  <w:tcW w:w="1115" w:type="dxa"/>
                  <w:tcBorders>
                    <w:top w:val="nil"/>
                    <w:left w:val="nil"/>
                    <w:bottom w:val="single" w:sz="4" w:space="0" w:color="auto"/>
                    <w:right w:val="single" w:sz="4" w:space="0" w:color="auto"/>
                  </w:tcBorders>
                  <w:shd w:val="clear" w:color="auto" w:fill="auto"/>
                  <w:noWrap/>
                  <w:vAlign w:val="bottom"/>
                  <w:hideMark/>
                </w:tcPr>
                <w:p w14:paraId="74E8240C" w14:textId="77777777" w:rsidR="00B93F39" w:rsidRPr="0094211C" w:rsidRDefault="00B93F39" w:rsidP="00B93F39">
                  <w:pPr>
                    <w:jc w:val="right"/>
                    <w:rPr>
                      <w:b/>
                      <w:bCs/>
                      <w:noProof/>
                      <w:color w:val="000000"/>
                    </w:rPr>
                  </w:pPr>
                  <w:r w:rsidRPr="0094211C">
                    <w:rPr>
                      <w:b/>
                      <w:bCs/>
                      <w:noProof/>
                      <w:color w:val="000000"/>
                    </w:rPr>
                    <w:t>11,607</w:t>
                  </w:r>
                </w:p>
              </w:tc>
              <w:tc>
                <w:tcPr>
                  <w:tcW w:w="1253" w:type="dxa"/>
                  <w:tcBorders>
                    <w:top w:val="nil"/>
                    <w:left w:val="nil"/>
                    <w:bottom w:val="single" w:sz="4" w:space="0" w:color="auto"/>
                    <w:right w:val="single" w:sz="4" w:space="0" w:color="auto"/>
                  </w:tcBorders>
                  <w:shd w:val="clear" w:color="auto" w:fill="auto"/>
                  <w:noWrap/>
                  <w:vAlign w:val="bottom"/>
                  <w:hideMark/>
                </w:tcPr>
                <w:p w14:paraId="08BBDB2C" w14:textId="77777777" w:rsidR="00B93F39" w:rsidRPr="0094211C" w:rsidRDefault="00B93F39" w:rsidP="00B93F39">
                  <w:pPr>
                    <w:jc w:val="right"/>
                    <w:rPr>
                      <w:b/>
                      <w:bCs/>
                      <w:noProof/>
                      <w:color w:val="000000"/>
                    </w:rPr>
                  </w:pPr>
                  <w:r w:rsidRPr="0094211C">
                    <w:rPr>
                      <w:b/>
                      <w:bCs/>
                      <w:noProof/>
                      <w:color w:val="000000"/>
                    </w:rPr>
                    <w:t>1,806</w:t>
                  </w:r>
                </w:p>
              </w:tc>
              <w:tc>
                <w:tcPr>
                  <w:tcW w:w="976" w:type="dxa"/>
                  <w:tcBorders>
                    <w:top w:val="nil"/>
                    <w:left w:val="nil"/>
                    <w:bottom w:val="single" w:sz="4" w:space="0" w:color="auto"/>
                    <w:right w:val="single" w:sz="4" w:space="0" w:color="auto"/>
                  </w:tcBorders>
                  <w:shd w:val="clear" w:color="auto" w:fill="auto"/>
                  <w:noWrap/>
                  <w:vAlign w:val="bottom"/>
                  <w:hideMark/>
                </w:tcPr>
                <w:p w14:paraId="29D3CF5F" w14:textId="77777777" w:rsidR="00B93F39" w:rsidRPr="0094211C" w:rsidRDefault="00B93F39" w:rsidP="00B93F39">
                  <w:pPr>
                    <w:jc w:val="right"/>
                    <w:rPr>
                      <w:b/>
                      <w:bCs/>
                      <w:noProof/>
                      <w:color w:val="000000"/>
                    </w:rPr>
                  </w:pPr>
                  <w:r w:rsidRPr="0094211C">
                    <w:rPr>
                      <w:b/>
                      <w:bCs/>
                      <w:noProof/>
                      <w:color w:val="000000"/>
                    </w:rPr>
                    <w:t>13,413</w:t>
                  </w:r>
                </w:p>
              </w:tc>
            </w:tr>
          </w:tbl>
          <w:p w14:paraId="20C8F9B5" w14:textId="77777777" w:rsidR="00B93F39" w:rsidRPr="0094211C" w:rsidRDefault="00B93F39" w:rsidP="00B93F39">
            <w:pPr>
              <w:jc w:val="both"/>
              <w:rPr>
                <w:rFonts w:eastAsia="Calibri"/>
                <w:noProof/>
              </w:rPr>
            </w:pPr>
          </w:p>
        </w:tc>
      </w:tr>
      <w:tr w:rsidR="00B93F39" w:rsidRPr="0094211C" w14:paraId="425226E9" w14:textId="77777777" w:rsidTr="0069144E">
        <w:trPr>
          <w:trHeight w:val="66"/>
        </w:trPr>
        <w:tc>
          <w:tcPr>
            <w:tcW w:w="1704" w:type="dxa"/>
            <w:tcBorders>
              <w:top w:val="single" w:sz="4" w:space="0" w:color="000000"/>
              <w:left w:val="single" w:sz="4" w:space="0" w:color="000000"/>
              <w:bottom w:val="single" w:sz="4" w:space="0" w:color="000000"/>
            </w:tcBorders>
            <w:shd w:val="clear" w:color="auto" w:fill="auto"/>
          </w:tcPr>
          <w:p w14:paraId="47F2A06C" w14:textId="77777777" w:rsidR="00B93F39" w:rsidRPr="0094211C" w:rsidRDefault="00B93F39" w:rsidP="00B93F39">
            <w:pPr>
              <w:rPr>
                <w:rFonts w:eastAsia="Calibri"/>
                <w:noProof/>
              </w:rPr>
            </w:pPr>
            <w:r w:rsidRPr="0094211C">
              <w:rPr>
                <w:noProof/>
              </w:rPr>
              <w:t>6.1. detalizēts ieņēmumu aprēķins</w:t>
            </w:r>
          </w:p>
        </w:tc>
        <w:tc>
          <w:tcPr>
            <w:tcW w:w="822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012E18" w14:textId="77777777" w:rsidR="00B93F39" w:rsidRPr="0094211C" w:rsidRDefault="00B93F39" w:rsidP="00B93F39">
            <w:pPr>
              <w:snapToGrid w:val="0"/>
              <w:rPr>
                <w:rFonts w:eastAsia="Calibri"/>
                <w:noProof/>
              </w:rPr>
            </w:pPr>
          </w:p>
        </w:tc>
      </w:tr>
      <w:tr w:rsidR="00B93F39" w:rsidRPr="0094211C" w14:paraId="2AC5D9EF" w14:textId="77777777" w:rsidTr="0069144E">
        <w:trPr>
          <w:trHeight w:val="31"/>
        </w:trPr>
        <w:tc>
          <w:tcPr>
            <w:tcW w:w="1704" w:type="dxa"/>
            <w:tcBorders>
              <w:top w:val="single" w:sz="4" w:space="0" w:color="000000"/>
              <w:left w:val="single" w:sz="4" w:space="0" w:color="000000"/>
              <w:bottom w:val="single" w:sz="4" w:space="0" w:color="000000"/>
            </w:tcBorders>
            <w:shd w:val="clear" w:color="auto" w:fill="auto"/>
          </w:tcPr>
          <w:p w14:paraId="64AB8A77" w14:textId="77777777" w:rsidR="00B93F39" w:rsidRPr="0094211C" w:rsidRDefault="00B93F39" w:rsidP="00B93F39">
            <w:pPr>
              <w:rPr>
                <w:rFonts w:eastAsia="Calibri"/>
                <w:noProof/>
              </w:rPr>
            </w:pPr>
            <w:r w:rsidRPr="0094211C">
              <w:rPr>
                <w:noProof/>
              </w:rPr>
              <w:t>6.2. detalizēts izdevumu aprēķins</w:t>
            </w:r>
          </w:p>
        </w:tc>
        <w:tc>
          <w:tcPr>
            <w:tcW w:w="822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EBDE8F" w14:textId="77777777" w:rsidR="00B93F39" w:rsidRPr="0094211C" w:rsidRDefault="00B93F39" w:rsidP="00B93F39">
            <w:pPr>
              <w:snapToGrid w:val="0"/>
              <w:rPr>
                <w:rFonts w:eastAsia="Calibri"/>
                <w:noProof/>
              </w:rPr>
            </w:pPr>
          </w:p>
        </w:tc>
      </w:tr>
      <w:tr w:rsidR="00B93F39" w:rsidRPr="0094211C" w14:paraId="594FAAD0" w14:textId="77777777" w:rsidTr="0069144E">
        <w:trPr>
          <w:trHeight w:val="518"/>
        </w:trPr>
        <w:tc>
          <w:tcPr>
            <w:tcW w:w="1704" w:type="dxa"/>
            <w:tcBorders>
              <w:top w:val="single" w:sz="4" w:space="0" w:color="000000"/>
              <w:left w:val="single" w:sz="4" w:space="0" w:color="000000"/>
              <w:bottom w:val="single" w:sz="4" w:space="0" w:color="000000"/>
            </w:tcBorders>
            <w:shd w:val="clear" w:color="auto" w:fill="auto"/>
          </w:tcPr>
          <w:p w14:paraId="03467254" w14:textId="77777777" w:rsidR="00B93F39" w:rsidRPr="0094211C" w:rsidRDefault="00B93F39" w:rsidP="00B93F39">
            <w:pPr>
              <w:rPr>
                <w:rFonts w:eastAsia="Calibri"/>
                <w:noProof/>
              </w:rPr>
            </w:pPr>
            <w:r w:rsidRPr="0094211C">
              <w:rPr>
                <w:noProof/>
              </w:rPr>
              <w:t>7. Amata vietu skaita izmaiņas</w:t>
            </w:r>
          </w:p>
        </w:tc>
        <w:tc>
          <w:tcPr>
            <w:tcW w:w="8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CC573" w14:textId="77777777" w:rsidR="00B93F39" w:rsidRPr="0094211C" w:rsidRDefault="00B93F39" w:rsidP="00B93F39">
            <w:pPr>
              <w:rPr>
                <w:rFonts w:eastAsia="Calibri"/>
                <w:noProof/>
              </w:rPr>
            </w:pPr>
            <w:r w:rsidRPr="000A6DDB">
              <w:rPr>
                <w:rFonts w:eastAsia="Calibri"/>
                <w:noProof/>
              </w:rPr>
              <w:t>Projekts šo jomu neskar</w:t>
            </w:r>
          </w:p>
        </w:tc>
      </w:tr>
      <w:tr w:rsidR="00B93F39" w:rsidRPr="004E7C73" w14:paraId="0243747B" w14:textId="77777777" w:rsidTr="0069144E">
        <w:trPr>
          <w:trHeight w:val="31"/>
        </w:trPr>
        <w:tc>
          <w:tcPr>
            <w:tcW w:w="1704" w:type="dxa"/>
            <w:tcBorders>
              <w:top w:val="single" w:sz="4" w:space="0" w:color="000000"/>
              <w:left w:val="single" w:sz="4" w:space="0" w:color="000000"/>
              <w:bottom w:val="single" w:sz="4" w:space="0" w:color="000000"/>
            </w:tcBorders>
            <w:shd w:val="clear" w:color="auto" w:fill="auto"/>
          </w:tcPr>
          <w:p w14:paraId="6058DCD4" w14:textId="77777777" w:rsidR="00B93F39" w:rsidRPr="0094211C" w:rsidRDefault="00B93F39" w:rsidP="00B93F39">
            <w:pPr>
              <w:rPr>
                <w:rFonts w:eastAsia="Calibri"/>
                <w:noProof/>
              </w:rPr>
            </w:pPr>
            <w:r w:rsidRPr="0094211C">
              <w:rPr>
                <w:noProof/>
              </w:rPr>
              <w:lastRenderedPageBreak/>
              <w:t>8. Cita informācija</w:t>
            </w:r>
          </w:p>
        </w:tc>
        <w:tc>
          <w:tcPr>
            <w:tcW w:w="822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1CA71A" w14:textId="77777777" w:rsidR="00B93F39" w:rsidRPr="00105D9D" w:rsidRDefault="00B93F39" w:rsidP="00B93F39">
            <w:pPr>
              <w:pStyle w:val="FootnoteText"/>
              <w:spacing w:after="120"/>
              <w:jc w:val="both"/>
              <w:rPr>
                <w:rFonts w:eastAsia="Calibri"/>
                <w:noProof/>
                <w:sz w:val="24"/>
                <w:szCs w:val="24"/>
              </w:rPr>
            </w:pPr>
            <w:r w:rsidRPr="00105D9D">
              <w:rPr>
                <w:rFonts w:eastAsia="Calibri"/>
                <w:noProof/>
                <w:sz w:val="24"/>
                <w:szCs w:val="24"/>
              </w:rPr>
              <w:t>Likumprojektā paredzētās izmaiņas ieņēmumos ir iekļautas likumprojektā “Par valsts budžetu 2020.gadam” un likumprojektā “Par vidēja termiņa budžeta ietvaru 2020., 2021. un 2022.gadam”.</w:t>
            </w:r>
          </w:p>
        </w:tc>
      </w:tr>
    </w:tbl>
    <w:p w14:paraId="5381C2C2" w14:textId="77777777" w:rsidR="00105D9D" w:rsidRPr="00632980" w:rsidRDefault="00105D9D" w:rsidP="000D3520">
      <w:pPr>
        <w:rPr>
          <w:noProof/>
        </w:rPr>
      </w:pPr>
    </w:p>
    <w:tbl>
      <w:tblPr>
        <w:tblW w:w="5479"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2"/>
      </w:tblGrid>
      <w:tr w:rsidR="00A22B1F" w:rsidRPr="00632980" w14:paraId="7DFF899F" w14:textId="77777777" w:rsidTr="0069144E">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8C1B49" w14:textId="77777777" w:rsidR="00806700" w:rsidRPr="00632980" w:rsidRDefault="00806700">
            <w:pPr>
              <w:pStyle w:val="NormalWeb"/>
              <w:spacing w:line="293" w:lineRule="atLeast"/>
              <w:jc w:val="center"/>
              <w:rPr>
                <w:b/>
                <w:bCs/>
                <w:noProof/>
              </w:rPr>
            </w:pPr>
            <w:r w:rsidRPr="00632980">
              <w:rPr>
                <w:b/>
                <w:bCs/>
                <w:noProof/>
              </w:rPr>
              <w:t>IV. Tiesību akta projekta ietekme uz spēkā esošo tiesību normu sistēmu</w:t>
            </w:r>
          </w:p>
        </w:tc>
      </w:tr>
      <w:tr w:rsidR="00A22B1F" w:rsidRPr="00632980" w14:paraId="144DBAD3" w14:textId="77777777" w:rsidTr="0069144E">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71DD8F" w14:textId="7CC7175C" w:rsidR="00915C3F" w:rsidRPr="00632980" w:rsidRDefault="00756C84">
            <w:pPr>
              <w:pStyle w:val="NormalWeb"/>
              <w:spacing w:line="293" w:lineRule="atLeast"/>
              <w:jc w:val="center"/>
              <w:rPr>
                <w:bCs/>
                <w:noProof/>
              </w:rPr>
            </w:pPr>
            <w:r w:rsidRPr="00632980">
              <w:rPr>
                <w:bCs/>
                <w:noProof/>
              </w:rPr>
              <w:t>Projekts šo jomu neskar</w:t>
            </w:r>
          </w:p>
        </w:tc>
      </w:tr>
    </w:tbl>
    <w:p w14:paraId="71D0A24E" w14:textId="77777777" w:rsidR="00806700" w:rsidRPr="00632980" w:rsidRDefault="00806700" w:rsidP="00806700">
      <w:pPr>
        <w:rPr>
          <w:noProof/>
        </w:rPr>
      </w:pPr>
    </w:p>
    <w:tbl>
      <w:tblPr>
        <w:tblW w:w="5479"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2"/>
      </w:tblGrid>
      <w:tr w:rsidR="00A22B1F" w:rsidRPr="00632980" w14:paraId="5E918E17" w14:textId="77777777" w:rsidTr="0069144E">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EF836B" w14:textId="77777777" w:rsidR="00806700" w:rsidRPr="00632980" w:rsidRDefault="00806700">
            <w:pPr>
              <w:pStyle w:val="NormalWeb"/>
              <w:spacing w:line="293" w:lineRule="atLeast"/>
              <w:jc w:val="center"/>
              <w:rPr>
                <w:b/>
                <w:bCs/>
                <w:noProof/>
              </w:rPr>
            </w:pPr>
            <w:r w:rsidRPr="00632980">
              <w:rPr>
                <w:b/>
                <w:bCs/>
                <w:noProof/>
              </w:rPr>
              <w:t>V. Tiesību akta projekta atbilstība Latvijas Republikas starptautiskajām saistībām</w:t>
            </w:r>
          </w:p>
        </w:tc>
      </w:tr>
      <w:tr w:rsidR="00A22B1F" w:rsidRPr="00632980" w14:paraId="111B411F" w14:textId="77777777" w:rsidTr="0069144E">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1186D06" w14:textId="2D23382A" w:rsidR="00915C3F" w:rsidRPr="00632980" w:rsidRDefault="00756C84">
            <w:pPr>
              <w:pStyle w:val="NormalWeb"/>
              <w:spacing w:line="293" w:lineRule="atLeast"/>
              <w:jc w:val="center"/>
              <w:rPr>
                <w:b/>
                <w:bCs/>
                <w:noProof/>
              </w:rPr>
            </w:pPr>
            <w:r w:rsidRPr="00632980">
              <w:rPr>
                <w:bCs/>
                <w:noProof/>
              </w:rPr>
              <w:t>Projekts šo jomu neskar</w:t>
            </w:r>
          </w:p>
        </w:tc>
      </w:tr>
    </w:tbl>
    <w:p w14:paraId="2151F96E" w14:textId="7DC5404C" w:rsidR="000A06E7" w:rsidRDefault="000A06E7" w:rsidP="000D3520">
      <w:pPr>
        <w:rPr>
          <w:noProof/>
        </w:rPr>
      </w:pPr>
    </w:p>
    <w:tbl>
      <w:tblPr>
        <w:tblW w:w="5479" w:type="pct"/>
        <w:tblInd w:w="-5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09"/>
        <w:gridCol w:w="3407"/>
        <w:gridCol w:w="5806"/>
      </w:tblGrid>
      <w:tr w:rsidR="00C14FD1" w:rsidRPr="00632980" w14:paraId="62820D0F" w14:textId="77777777" w:rsidTr="0069144E">
        <w:trPr>
          <w:trHeight w:val="207"/>
        </w:trPr>
        <w:tc>
          <w:tcPr>
            <w:tcW w:w="5000" w:type="pct"/>
            <w:gridSpan w:val="3"/>
            <w:tcBorders>
              <w:top w:val="outset" w:sz="6" w:space="0" w:color="000000"/>
              <w:left w:val="outset" w:sz="6" w:space="0" w:color="000000"/>
              <w:bottom w:val="outset" w:sz="6" w:space="0" w:color="000000"/>
              <w:right w:val="outset" w:sz="6" w:space="0" w:color="000000"/>
            </w:tcBorders>
            <w:hideMark/>
          </w:tcPr>
          <w:p w14:paraId="18FAA469" w14:textId="1B021B6E" w:rsidR="00C14FD1" w:rsidRPr="00632980" w:rsidRDefault="00C14FD1" w:rsidP="00834F39">
            <w:pPr>
              <w:pStyle w:val="NormalWeb"/>
              <w:spacing w:before="0" w:beforeAutospacing="0" w:after="0" w:afterAutospacing="0"/>
              <w:jc w:val="center"/>
              <w:rPr>
                <w:b/>
                <w:bCs/>
                <w:noProof/>
              </w:rPr>
            </w:pPr>
            <w:r w:rsidRPr="00632980">
              <w:rPr>
                <w:b/>
                <w:bCs/>
                <w:noProof/>
              </w:rPr>
              <w:t xml:space="preserve">VI. </w:t>
            </w:r>
            <w:r w:rsidRPr="00632980">
              <w:rPr>
                <w:b/>
                <w:noProof/>
              </w:rPr>
              <w:t>Sabiedrības līdzdalība un komunikācijas aktivitātes</w:t>
            </w:r>
          </w:p>
        </w:tc>
      </w:tr>
      <w:tr w:rsidR="00C14FD1" w:rsidRPr="00632980" w14:paraId="4A783D00" w14:textId="77777777" w:rsidTr="0069144E">
        <w:trPr>
          <w:trHeight w:val="853"/>
        </w:trPr>
        <w:tc>
          <w:tcPr>
            <w:tcW w:w="357" w:type="pct"/>
            <w:tcBorders>
              <w:top w:val="outset" w:sz="6" w:space="0" w:color="000000"/>
              <w:left w:val="outset" w:sz="6" w:space="0" w:color="000000"/>
              <w:bottom w:val="outset" w:sz="6" w:space="0" w:color="000000"/>
              <w:right w:val="outset" w:sz="6" w:space="0" w:color="000000"/>
            </w:tcBorders>
            <w:hideMark/>
          </w:tcPr>
          <w:p w14:paraId="323BEC24" w14:textId="3AE30FB5" w:rsidR="00C14FD1" w:rsidRPr="00632980" w:rsidRDefault="00C14FD1" w:rsidP="00C14FD1">
            <w:pPr>
              <w:pStyle w:val="NormalWeb"/>
              <w:spacing w:before="0" w:beforeAutospacing="0" w:after="0" w:afterAutospacing="0"/>
              <w:rPr>
                <w:noProof/>
              </w:rPr>
            </w:pPr>
            <w:r w:rsidRPr="00632980">
              <w:rPr>
                <w:iCs/>
                <w:noProof/>
              </w:rPr>
              <w:t>1.</w:t>
            </w:r>
          </w:p>
        </w:tc>
        <w:tc>
          <w:tcPr>
            <w:tcW w:w="1717" w:type="pct"/>
            <w:tcBorders>
              <w:top w:val="outset" w:sz="6" w:space="0" w:color="000000"/>
              <w:left w:val="outset" w:sz="6" w:space="0" w:color="000000"/>
              <w:bottom w:val="outset" w:sz="6" w:space="0" w:color="000000"/>
              <w:right w:val="outset" w:sz="6" w:space="0" w:color="000000"/>
            </w:tcBorders>
            <w:hideMark/>
          </w:tcPr>
          <w:p w14:paraId="3FDEE5F0" w14:textId="33DE728D" w:rsidR="00C14FD1" w:rsidRPr="00632980" w:rsidRDefault="00C14FD1" w:rsidP="00C14FD1">
            <w:pPr>
              <w:pStyle w:val="NormalWeb"/>
              <w:spacing w:before="0" w:beforeAutospacing="0" w:after="0" w:afterAutospacing="0"/>
              <w:rPr>
                <w:noProof/>
              </w:rPr>
            </w:pPr>
            <w:r w:rsidRPr="00632980">
              <w:rPr>
                <w:noProof/>
              </w:rPr>
              <w:t>Plānotās sabiedrības līdzdalības un komunikācijas aktivitātes saistībā ar projektu</w:t>
            </w:r>
          </w:p>
        </w:tc>
        <w:tc>
          <w:tcPr>
            <w:tcW w:w="2926" w:type="pct"/>
            <w:tcBorders>
              <w:top w:val="outset" w:sz="6" w:space="0" w:color="000000"/>
              <w:left w:val="outset" w:sz="6" w:space="0" w:color="000000"/>
              <w:bottom w:val="outset" w:sz="6" w:space="0" w:color="000000"/>
              <w:right w:val="outset" w:sz="6" w:space="0" w:color="000000"/>
            </w:tcBorders>
            <w:hideMark/>
          </w:tcPr>
          <w:p w14:paraId="6527FF41" w14:textId="014BE7B4" w:rsidR="00C14FD1" w:rsidRPr="00632980" w:rsidRDefault="00C14FD1" w:rsidP="0093080E">
            <w:pPr>
              <w:pStyle w:val="NormalWeb"/>
              <w:spacing w:before="0" w:beforeAutospacing="0" w:after="0" w:afterAutospacing="0"/>
              <w:jc w:val="both"/>
              <w:rPr>
                <w:noProof/>
              </w:rPr>
            </w:pPr>
            <w:r w:rsidRPr="00632980">
              <w:rPr>
                <w:noProof/>
                <w:shd w:val="clear" w:color="auto" w:fill="FFFFFF"/>
              </w:rPr>
              <w:t>Likumprojekts tik</w:t>
            </w:r>
            <w:r w:rsidR="0093080E">
              <w:rPr>
                <w:noProof/>
                <w:shd w:val="clear" w:color="auto" w:fill="FFFFFF"/>
              </w:rPr>
              <w:t>a</w:t>
            </w:r>
            <w:r w:rsidRPr="00632980">
              <w:rPr>
                <w:noProof/>
                <w:shd w:val="clear" w:color="auto" w:fill="FFFFFF"/>
              </w:rPr>
              <w:t xml:space="preserve"> nosūtīts </w:t>
            </w:r>
            <w:r w:rsidRPr="00632980">
              <w:t>Latvijas Pašvaldību savienībai,</w:t>
            </w:r>
            <w:r w:rsidRPr="00632980">
              <w:rPr>
                <w:rFonts w:eastAsia="Calibri"/>
                <w:noProof/>
              </w:rPr>
              <w:t xml:space="preserve"> Latvijas Tirdzniecības un rūpniecības kamerai,</w:t>
            </w:r>
            <w:r w:rsidRPr="00632980">
              <w:rPr>
                <w:noProof/>
                <w:shd w:val="clear" w:color="auto" w:fill="FFFFFF"/>
              </w:rPr>
              <w:t xml:space="preserve"> Latvijas Darba devēju konfederācijai un biedrībai “Latvijas Spēļu biznesa asociācija”.</w:t>
            </w:r>
          </w:p>
        </w:tc>
      </w:tr>
      <w:tr w:rsidR="00C14FD1" w:rsidRPr="00632980" w14:paraId="4A6FEA8E" w14:textId="77777777" w:rsidTr="0069144E">
        <w:trPr>
          <w:trHeight w:val="1743"/>
        </w:trPr>
        <w:tc>
          <w:tcPr>
            <w:tcW w:w="357" w:type="pct"/>
            <w:tcBorders>
              <w:top w:val="outset" w:sz="6" w:space="0" w:color="000000"/>
              <w:left w:val="outset" w:sz="6" w:space="0" w:color="000000"/>
              <w:bottom w:val="outset" w:sz="6" w:space="0" w:color="000000"/>
              <w:right w:val="outset" w:sz="6" w:space="0" w:color="000000"/>
            </w:tcBorders>
            <w:hideMark/>
          </w:tcPr>
          <w:p w14:paraId="01C9016B" w14:textId="01EB5A77" w:rsidR="00C14FD1" w:rsidRPr="00632980" w:rsidRDefault="00C14FD1" w:rsidP="00C14FD1">
            <w:pPr>
              <w:pStyle w:val="NormalWeb"/>
              <w:spacing w:before="0" w:beforeAutospacing="0" w:after="0" w:afterAutospacing="0"/>
              <w:rPr>
                <w:noProof/>
              </w:rPr>
            </w:pPr>
            <w:r w:rsidRPr="00632980">
              <w:rPr>
                <w:iCs/>
                <w:noProof/>
              </w:rPr>
              <w:t>2.</w:t>
            </w:r>
          </w:p>
        </w:tc>
        <w:tc>
          <w:tcPr>
            <w:tcW w:w="1717" w:type="pct"/>
            <w:tcBorders>
              <w:top w:val="outset" w:sz="6" w:space="0" w:color="000000"/>
              <w:left w:val="outset" w:sz="6" w:space="0" w:color="000000"/>
              <w:bottom w:val="outset" w:sz="6" w:space="0" w:color="000000"/>
              <w:right w:val="outset" w:sz="6" w:space="0" w:color="000000"/>
            </w:tcBorders>
            <w:hideMark/>
          </w:tcPr>
          <w:p w14:paraId="45EFA6C3" w14:textId="63A2B952" w:rsidR="00C14FD1" w:rsidRPr="00632980" w:rsidRDefault="00C14FD1" w:rsidP="00C14FD1">
            <w:pPr>
              <w:pStyle w:val="NormalWeb"/>
              <w:spacing w:before="0" w:beforeAutospacing="0" w:after="0" w:afterAutospacing="0"/>
              <w:rPr>
                <w:noProof/>
              </w:rPr>
            </w:pPr>
            <w:r w:rsidRPr="00632980">
              <w:rPr>
                <w:noProof/>
              </w:rPr>
              <w:t>Sabiedrības līdzdalība projekta izstrādē</w:t>
            </w:r>
          </w:p>
        </w:tc>
        <w:tc>
          <w:tcPr>
            <w:tcW w:w="2926" w:type="pct"/>
            <w:tcBorders>
              <w:top w:val="outset" w:sz="6" w:space="0" w:color="000000"/>
              <w:left w:val="outset" w:sz="6" w:space="0" w:color="000000"/>
              <w:bottom w:val="outset" w:sz="6" w:space="0" w:color="000000"/>
              <w:right w:val="outset" w:sz="6" w:space="0" w:color="000000"/>
            </w:tcBorders>
            <w:hideMark/>
          </w:tcPr>
          <w:p w14:paraId="06857F43" w14:textId="7FF5CE63" w:rsidR="00C14FD1" w:rsidRPr="00632980" w:rsidRDefault="00C14FD1" w:rsidP="0093080E">
            <w:pPr>
              <w:pStyle w:val="NormalWeb"/>
              <w:spacing w:before="0" w:beforeAutospacing="0" w:after="0" w:afterAutospacing="0"/>
              <w:jc w:val="both"/>
              <w:rPr>
                <w:noProof/>
              </w:rPr>
            </w:pPr>
            <w:r w:rsidRPr="00632980">
              <w:rPr>
                <w:noProof/>
                <w:shd w:val="clear" w:color="auto" w:fill="FFFFFF"/>
              </w:rPr>
              <w:t>Par likumprojektā paredzēto azartspēļu nodokļa likmes paaugstināšanu un azartspēļu nodokļa ieņēmumu sadalījuma izmaiņām pa valsts un pašvaldību budžetiem tik</w:t>
            </w:r>
            <w:r w:rsidR="0093080E">
              <w:rPr>
                <w:noProof/>
                <w:shd w:val="clear" w:color="auto" w:fill="FFFFFF"/>
              </w:rPr>
              <w:t>a</w:t>
            </w:r>
            <w:r w:rsidRPr="00632980">
              <w:rPr>
                <w:noProof/>
                <w:shd w:val="clear" w:color="auto" w:fill="FFFFFF"/>
              </w:rPr>
              <w:t xml:space="preserve"> informēta </w:t>
            </w:r>
            <w:r w:rsidRPr="00632980">
              <w:t>Latvijas Pašvaldību savienība,</w:t>
            </w:r>
            <w:r w:rsidRPr="00632980">
              <w:rPr>
                <w:rFonts w:eastAsia="Calibri"/>
                <w:noProof/>
              </w:rPr>
              <w:t xml:space="preserve"> Latvijas Tirdzniecības un rūpniecības kamera, </w:t>
            </w:r>
            <w:r w:rsidRPr="00632980">
              <w:rPr>
                <w:noProof/>
                <w:shd w:val="clear" w:color="auto" w:fill="FFFFFF"/>
              </w:rPr>
              <w:t>Latvijas Darba devēju konfederācija un biedrība “Latvijas Spēļu biznesa asociācija”.</w:t>
            </w:r>
          </w:p>
        </w:tc>
      </w:tr>
      <w:tr w:rsidR="00C14FD1" w:rsidRPr="00632980" w14:paraId="616C4E4B" w14:textId="77777777" w:rsidTr="0069144E">
        <w:trPr>
          <w:trHeight w:val="634"/>
        </w:trPr>
        <w:tc>
          <w:tcPr>
            <w:tcW w:w="357" w:type="pct"/>
            <w:tcBorders>
              <w:top w:val="outset" w:sz="6" w:space="0" w:color="000000"/>
              <w:left w:val="outset" w:sz="6" w:space="0" w:color="000000"/>
              <w:bottom w:val="outset" w:sz="6" w:space="0" w:color="000000"/>
              <w:right w:val="outset" w:sz="6" w:space="0" w:color="000000"/>
            </w:tcBorders>
            <w:hideMark/>
          </w:tcPr>
          <w:p w14:paraId="428632C9" w14:textId="4179C836" w:rsidR="00C14FD1" w:rsidRPr="00632980" w:rsidRDefault="00C14FD1" w:rsidP="00C14FD1">
            <w:pPr>
              <w:pStyle w:val="NormalWeb"/>
              <w:spacing w:before="0" w:beforeAutospacing="0" w:after="0" w:afterAutospacing="0"/>
              <w:rPr>
                <w:noProof/>
              </w:rPr>
            </w:pPr>
            <w:r w:rsidRPr="00632980">
              <w:rPr>
                <w:iCs/>
                <w:noProof/>
              </w:rPr>
              <w:t>3.</w:t>
            </w:r>
          </w:p>
        </w:tc>
        <w:tc>
          <w:tcPr>
            <w:tcW w:w="1717" w:type="pct"/>
            <w:tcBorders>
              <w:top w:val="outset" w:sz="6" w:space="0" w:color="000000"/>
              <w:left w:val="outset" w:sz="6" w:space="0" w:color="000000"/>
              <w:bottom w:val="outset" w:sz="6" w:space="0" w:color="000000"/>
              <w:right w:val="outset" w:sz="6" w:space="0" w:color="000000"/>
            </w:tcBorders>
            <w:hideMark/>
          </w:tcPr>
          <w:p w14:paraId="315723C2" w14:textId="78028AD8" w:rsidR="00C14FD1" w:rsidRPr="00632980" w:rsidRDefault="00C14FD1" w:rsidP="00C14FD1">
            <w:pPr>
              <w:pStyle w:val="NormalWeb"/>
              <w:spacing w:before="0" w:beforeAutospacing="0" w:after="0" w:afterAutospacing="0"/>
              <w:rPr>
                <w:noProof/>
              </w:rPr>
            </w:pPr>
            <w:r w:rsidRPr="00632980">
              <w:rPr>
                <w:noProof/>
              </w:rPr>
              <w:t>Sabiedrības līdzdalības rezultāti</w:t>
            </w:r>
          </w:p>
        </w:tc>
        <w:tc>
          <w:tcPr>
            <w:tcW w:w="2926" w:type="pct"/>
            <w:tcBorders>
              <w:top w:val="outset" w:sz="6" w:space="0" w:color="000000"/>
              <w:left w:val="outset" w:sz="6" w:space="0" w:color="000000"/>
              <w:bottom w:val="outset" w:sz="6" w:space="0" w:color="000000"/>
              <w:right w:val="outset" w:sz="6" w:space="0" w:color="000000"/>
            </w:tcBorders>
            <w:hideMark/>
          </w:tcPr>
          <w:p w14:paraId="7703A20A" w14:textId="732AA13D" w:rsidR="00C14FD1" w:rsidRPr="00F44B7A" w:rsidRDefault="00C14FD1" w:rsidP="00FB1F33">
            <w:pPr>
              <w:pStyle w:val="NormalWeb"/>
              <w:spacing w:before="0" w:beforeAutospacing="0" w:after="0" w:afterAutospacing="0"/>
              <w:jc w:val="both"/>
              <w:rPr>
                <w:noProof/>
                <w:shd w:val="clear" w:color="auto" w:fill="FFFFFF"/>
              </w:rPr>
            </w:pPr>
            <w:r w:rsidRPr="00F44B7A">
              <w:rPr>
                <w:shd w:val="clear" w:color="auto" w:fill="FFFFFF"/>
              </w:rPr>
              <w:t>Biedrība</w:t>
            </w:r>
            <w:r w:rsidRPr="00F44B7A">
              <w:rPr>
                <w:rStyle w:val="apple-converted-space"/>
                <w:shd w:val="clear" w:color="auto" w:fill="FFFFFF"/>
              </w:rPr>
              <w:t> </w:t>
            </w:r>
            <w:r w:rsidR="00EB39B9" w:rsidRPr="00F44B7A">
              <w:rPr>
                <w:noProof/>
                <w:shd w:val="clear" w:color="auto" w:fill="FFFFFF"/>
              </w:rPr>
              <w:t xml:space="preserve">“Latvijas Spēļu biznesa asociācija” </w:t>
            </w:r>
            <w:r w:rsidRPr="00F44B7A">
              <w:rPr>
                <w:shd w:val="clear" w:color="auto" w:fill="FFFFFF"/>
              </w:rPr>
              <w:t>neatbalsta azartspēļu nodokļa likmju paaugstināšanu un par to ir informējusi Ministru prezidentu un Finanšu ministru.</w:t>
            </w:r>
            <w:r w:rsidR="00F44B7A" w:rsidRPr="00F44B7A">
              <w:t xml:space="preserve"> </w:t>
            </w:r>
            <w:r w:rsidR="00FB1F33" w:rsidRPr="00FB1F33">
              <w:t xml:space="preserve">Latvijas Pašvaldību savienība </w:t>
            </w:r>
            <w:r w:rsidR="00FB1F33" w:rsidRPr="00FB1F33">
              <w:rPr>
                <w:shd w:val="clear" w:color="auto" w:fill="FFFFFF"/>
              </w:rPr>
              <w:t xml:space="preserve">neatbalsta </w:t>
            </w:r>
            <w:r w:rsidR="00FB1F33" w:rsidRPr="00FB1F33">
              <w:rPr>
                <w:noProof/>
                <w:shd w:val="clear" w:color="auto" w:fill="FFFFFF"/>
              </w:rPr>
              <w:t>likumprojektā paredzētās azartspēļu nodokļa ieņēmumu sadalījuma izmaiņas pašvaldību budžetos.</w:t>
            </w:r>
          </w:p>
        </w:tc>
      </w:tr>
      <w:tr w:rsidR="00C14FD1" w:rsidRPr="00632980" w14:paraId="219D36A9" w14:textId="77777777" w:rsidTr="0069144E">
        <w:trPr>
          <w:trHeight w:val="219"/>
        </w:trPr>
        <w:tc>
          <w:tcPr>
            <w:tcW w:w="357" w:type="pct"/>
            <w:tcBorders>
              <w:top w:val="outset" w:sz="6" w:space="0" w:color="000000"/>
              <w:left w:val="outset" w:sz="6" w:space="0" w:color="000000"/>
              <w:bottom w:val="outset" w:sz="6" w:space="0" w:color="000000"/>
              <w:right w:val="outset" w:sz="6" w:space="0" w:color="000000"/>
            </w:tcBorders>
          </w:tcPr>
          <w:p w14:paraId="5441D71D" w14:textId="58C79636" w:rsidR="00C14FD1" w:rsidRPr="00632980" w:rsidRDefault="00C14FD1" w:rsidP="00C14FD1">
            <w:pPr>
              <w:pStyle w:val="NormalWeb"/>
              <w:spacing w:before="0" w:beforeAutospacing="0" w:after="0" w:afterAutospacing="0"/>
              <w:rPr>
                <w:noProof/>
              </w:rPr>
            </w:pPr>
            <w:r w:rsidRPr="00632980">
              <w:rPr>
                <w:iCs/>
                <w:noProof/>
              </w:rPr>
              <w:t>4.</w:t>
            </w:r>
          </w:p>
        </w:tc>
        <w:tc>
          <w:tcPr>
            <w:tcW w:w="1717" w:type="pct"/>
            <w:tcBorders>
              <w:top w:val="outset" w:sz="6" w:space="0" w:color="000000"/>
              <w:left w:val="outset" w:sz="6" w:space="0" w:color="000000"/>
              <w:bottom w:val="outset" w:sz="6" w:space="0" w:color="000000"/>
              <w:right w:val="outset" w:sz="6" w:space="0" w:color="000000"/>
            </w:tcBorders>
          </w:tcPr>
          <w:p w14:paraId="7CE65CF5" w14:textId="7BDA8170" w:rsidR="00C14FD1" w:rsidRPr="00632980" w:rsidRDefault="00C14FD1" w:rsidP="00C14FD1">
            <w:pPr>
              <w:pStyle w:val="NormalWeb"/>
              <w:spacing w:before="0" w:beforeAutospacing="0" w:after="0" w:afterAutospacing="0"/>
              <w:rPr>
                <w:noProof/>
              </w:rPr>
            </w:pPr>
            <w:r w:rsidRPr="00632980">
              <w:rPr>
                <w:noProof/>
              </w:rPr>
              <w:t>Cita informācija</w:t>
            </w:r>
          </w:p>
        </w:tc>
        <w:tc>
          <w:tcPr>
            <w:tcW w:w="2926" w:type="pct"/>
            <w:tcBorders>
              <w:top w:val="outset" w:sz="6" w:space="0" w:color="000000"/>
              <w:left w:val="outset" w:sz="6" w:space="0" w:color="000000"/>
              <w:bottom w:val="outset" w:sz="6" w:space="0" w:color="000000"/>
              <w:right w:val="outset" w:sz="6" w:space="0" w:color="000000"/>
            </w:tcBorders>
          </w:tcPr>
          <w:p w14:paraId="2C8912A6" w14:textId="08A48E24" w:rsidR="00C14FD1" w:rsidRPr="00632980" w:rsidRDefault="00C14FD1" w:rsidP="00C14FD1">
            <w:pPr>
              <w:pStyle w:val="NormalWeb"/>
              <w:spacing w:before="0" w:beforeAutospacing="0" w:after="0" w:afterAutospacing="0"/>
              <w:rPr>
                <w:noProof/>
              </w:rPr>
            </w:pPr>
            <w:r w:rsidRPr="00632980">
              <w:rPr>
                <w:noProof/>
              </w:rPr>
              <w:t>Nav.</w:t>
            </w:r>
          </w:p>
        </w:tc>
      </w:tr>
    </w:tbl>
    <w:p w14:paraId="1340A58A" w14:textId="69EB4468" w:rsidR="00C14FD1" w:rsidRDefault="00C14FD1" w:rsidP="000D3520">
      <w:pPr>
        <w:rPr>
          <w:noProof/>
        </w:rPr>
      </w:pPr>
    </w:p>
    <w:tbl>
      <w:tblPr>
        <w:tblW w:w="5479" w:type="pct"/>
        <w:tblInd w:w="-5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09"/>
        <w:gridCol w:w="4395"/>
        <w:gridCol w:w="4818"/>
      </w:tblGrid>
      <w:tr w:rsidR="00A22B1F" w:rsidRPr="00632980" w14:paraId="63BF73E0" w14:textId="77777777" w:rsidTr="0069144E">
        <w:tc>
          <w:tcPr>
            <w:tcW w:w="5000" w:type="pct"/>
            <w:gridSpan w:val="3"/>
            <w:tcBorders>
              <w:top w:val="outset" w:sz="6" w:space="0" w:color="000000"/>
              <w:left w:val="outset" w:sz="6" w:space="0" w:color="000000"/>
              <w:bottom w:val="outset" w:sz="6" w:space="0" w:color="000000"/>
              <w:right w:val="outset" w:sz="6" w:space="0" w:color="000000"/>
            </w:tcBorders>
            <w:hideMark/>
          </w:tcPr>
          <w:p w14:paraId="63BF73DF" w14:textId="77777777" w:rsidR="001E4890" w:rsidRPr="00632980" w:rsidRDefault="001E4890" w:rsidP="000D3520">
            <w:pPr>
              <w:pStyle w:val="NormalWeb"/>
              <w:spacing w:before="0" w:beforeAutospacing="0" w:after="0" w:afterAutospacing="0"/>
              <w:jc w:val="center"/>
              <w:rPr>
                <w:b/>
                <w:bCs/>
                <w:noProof/>
              </w:rPr>
            </w:pPr>
            <w:r w:rsidRPr="00632980">
              <w:rPr>
                <w:b/>
                <w:bCs/>
                <w:noProof/>
              </w:rPr>
              <w:t>VII. Tiesību akta projekta izpildes nodrošināšana un tās ietekme uz institūcijām</w:t>
            </w:r>
          </w:p>
        </w:tc>
      </w:tr>
      <w:tr w:rsidR="00A22B1F" w:rsidRPr="00632980" w14:paraId="63BF73E4" w14:textId="77777777" w:rsidTr="0069144E">
        <w:tc>
          <w:tcPr>
            <w:tcW w:w="357" w:type="pct"/>
            <w:tcBorders>
              <w:top w:val="outset" w:sz="6" w:space="0" w:color="000000"/>
              <w:left w:val="outset" w:sz="6" w:space="0" w:color="000000"/>
              <w:bottom w:val="outset" w:sz="6" w:space="0" w:color="000000"/>
              <w:right w:val="outset" w:sz="6" w:space="0" w:color="000000"/>
            </w:tcBorders>
            <w:hideMark/>
          </w:tcPr>
          <w:p w14:paraId="63BF73E1" w14:textId="77777777" w:rsidR="001E4890" w:rsidRPr="00632980" w:rsidRDefault="001E4890" w:rsidP="000D3520">
            <w:pPr>
              <w:pStyle w:val="NormalWeb"/>
              <w:spacing w:before="0" w:beforeAutospacing="0" w:after="0" w:afterAutospacing="0"/>
              <w:rPr>
                <w:noProof/>
              </w:rPr>
            </w:pPr>
            <w:r w:rsidRPr="00632980">
              <w:rPr>
                <w:noProof/>
              </w:rPr>
              <w:t>1.</w:t>
            </w:r>
          </w:p>
        </w:tc>
        <w:tc>
          <w:tcPr>
            <w:tcW w:w="2215" w:type="pct"/>
            <w:tcBorders>
              <w:top w:val="outset" w:sz="6" w:space="0" w:color="000000"/>
              <w:left w:val="outset" w:sz="6" w:space="0" w:color="000000"/>
              <w:bottom w:val="outset" w:sz="6" w:space="0" w:color="000000"/>
              <w:right w:val="outset" w:sz="6" w:space="0" w:color="000000"/>
            </w:tcBorders>
            <w:hideMark/>
          </w:tcPr>
          <w:p w14:paraId="63BF73E2" w14:textId="77777777" w:rsidR="001E4890" w:rsidRPr="00632980" w:rsidRDefault="001E4890" w:rsidP="000D3520">
            <w:pPr>
              <w:pStyle w:val="NormalWeb"/>
              <w:spacing w:before="0" w:beforeAutospacing="0" w:after="0" w:afterAutospacing="0"/>
              <w:rPr>
                <w:noProof/>
              </w:rPr>
            </w:pPr>
            <w:r w:rsidRPr="00632980">
              <w:rPr>
                <w:noProof/>
              </w:rPr>
              <w:t>Projekta izpildē iesaistītās institūcijas</w:t>
            </w:r>
          </w:p>
        </w:tc>
        <w:tc>
          <w:tcPr>
            <w:tcW w:w="2429" w:type="pct"/>
            <w:tcBorders>
              <w:top w:val="outset" w:sz="6" w:space="0" w:color="000000"/>
              <w:left w:val="outset" w:sz="6" w:space="0" w:color="000000"/>
              <w:bottom w:val="outset" w:sz="6" w:space="0" w:color="000000"/>
              <w:right w:val="outset" w:sz="6" w:space="0" w:color="000000"/>
            </w:tcBorders>
            <w:hideMark/>
          </w:tcPr>
          <w:p w14:paraId="63BF73E3" w14:textId="4FE94F7E" w:rsidR="001E4890" w:rsidRPr="00632980" w:rsidRDefault="00572A89" w:rsidP="000D3520">
            <w:pPr>
              <w:pStyle w:val="NormalWeb"/>
              <w:spacing w:before="0" w:beforeAutospacing="0" w:after="0" w:afterAutospacing="0"/>
              <w:jc w:val="both"/>
              <w:rPr>
                <w:noProof/>
              </w:rPr>
            </w:pPr>
            <w:r w:rsidRPr="00632980">
              <w:rPr>
                <w:noProof/>
                <w:shd w:val="clear" w:color="auto" w:fill="FFFFFF"/>
              </w:rPr>
              <w:t>Izložu un azartspēļu uzraudzības inspekcija, Valsts ieņēmumu dienests.</w:t>
            </w:r>
          </w:p>
        </w:tc>
      </w:tr>
      <w:tr w:rsidR="00A22B1F" w:rsidRPr="00632980" w14:paraId="63BF73EA" w14:textId="77777777" w:rsidTr="0069144E">
        <w:tc>
          <w:tcPr>
            <w:tcW w:w="357" w:type="pct"/>
            <w:tcBorders>
              <w:top w:val="outset" w:sz="6" w:space="0" w:color="000000"/>
              <w:left w:val="outset" w:sz="6" w:space="0" w:color="000000"/>
              <w:bottom w:val="outset" w:sz="6" w:space="0" w:color="000000"/>
              <w:right w:val="outset" w:sz="6" w:space="0" w:color="000000"/>
            </w:tcBorders>
            <w:hideMark/>
          </w:tcPr>
          <w:p w14:paraId="63BF73E5" w14:textId="77777777" w:rsidR="001353B2" w:rsidRPr="00632980" w:rsidRDefault="001353B2" w:rsidP="000D3520">
            <w:pPr>
              <w:pStyle w:val="NormalWeb"/>
              <w:spacing w:before="0" w:beforeAutospacing="0" w:after="0" w:afterAutospacing="0"/>
              <w:rPr>
                <w:noProof/>
              </w:rPr>
            </w:pPr>
            <w:r w:rsidRPr="00632980">
              <w:rPr>
                <w:noProof/>
              </w:rPr>
              <w:t>2.</w:t>
            </w:r>
          </w:p>
        </w:tc>
        <w:tc>
          <w:tcPr>
            <w:tcW w:w="2215" w:type="pct"/>
            <w:tcBorders>
              <w:top w:val="outset" w:sz="6" w:space="0" w:color="000000"/>
              <w:left w:val="outset" w:sz="6" w:space="0" w:color="000000"/>
              <w:bottom w:val="outset" w:sz="6" w:space="0" w:color="000000"/>
              <w:right w:val="outset" w:sz="6" w:space="0" w:color="000000"/>
            </w:tcBorders>
            <w:hideMark/>
          </w:tcPr>
          <w:p w14:paraId="63BF73E6" w14:textId="77777777" w:rsidR="001353B2" w:rsidRPr="00632980" w:rsidRDefault="001353B2" w:rsidP="000D3520">
            <w:pPr>
              <w:pStyle w:val="NormalWeb"/>
              <w:spacing w:before="0" w:beforeAutospacing="0" w:after="0" w:afterAutospacing="0"/>
              <w:rPr>
                <w:noProof/>
              </w:rPr>
            </w:pPr>
            <w:r w:rsidRPr="00632980">
              <w:rPr>
                <w:noProof/>
              </w:rPr>
              <w:t>Projekta izpildes ietekme uz pārvaldes funkcijām un institucionālo struktūru.</w:t>
            </w:r>
          </w:p>
          <w:p w14:paraId="63BF73E7" w14:textId="77777777" w:rsidR="001353B2" w:rsidRPr="00632980" w:rsidRDefault="001353B2" w:rsidP="000D3520">
            <w:pPr>
              <w:pStyle w:val="NormalWeb"/>
              <w:spacing w:before="0" w:beforeAutospacing="0" w:after="0" w:afterAutospacing="0"/>
              <w:rPr>
                <w:noProof/>
              </w:rPr>
            </w:pPr>
            <w:r w:rsidRPr="00632980">
              <w:rPr>
                <w:noProof/>
              </w:rPr>
              <w:t>Jaunu institūciju izveide, esošo institūciju likvidācija vai reorganizācija, to ietekme uz institūcijas cilvēkresursiem</w:t>
            </w:r>
          </w:p>
        </w:tc>
        <w:tc>
          <w:tcPr>
            <w:tcW w:w="2429" w:type="pct"/>
            <w:tcBorders>
              <w:top w:val="outset" w:sz="6" w:space="0" w:color="000000"/>
              <w:left w:val="outset" w:sz="6" w:space="0" w:color="000000"/>
              <w:bottom w:val="outset" w:sz="6" w:space="0" w:color="000000"/>
              <w:right w:val="outset" w:sz="6" w:space="0" w:color="000000"/>
            </w:tcBorders>
            <w:hideMark/>
          </w:tcPr>
          <w:p w14:paraId="563213AC" w14:textId="4D9EC157" w:rsidR="001353B2" w:rsidRPr="00632980" w:rsidRDefault="000C4D22" w:rsidP="000D3520">
            <w:pPr>
              <w:pStyle w:val="NormalWeb"/>
              <w:spacing w:before="0" w:beforeAutospacing="0" w:after="0" w:afterAutospacing="0"/>
              <w:jc w:val="both"/>
              <w:rPr>
                <w:noProof/>
              </w:rPr>
            </w:pPr>
            <w:r w:rsidRPr="00632980">
              <w:rPr>
                <w:noProof/>
              </w:rPr>
              <w:t>Funkc</w:t>
            </w:r>
            <w:r w:rsidR="00651117" w:rsidRPr="00632980">
              <w:rPr>
                <w:noProof/>
              </w:rPr>
              <w:t>ijas un uzdevumi netiek grozīti</w:t>
            </w:r>
            <w:r w:rsidRPr="00632980">
              <w:rPr>
                <w:noProof/>
              </w:rPr>
              <w:t>.</w:t>
            </w:r>
          </w:p>
          <w:p w14:paraId="5A299569" w14:textId="77777777" w:rsidR="001353B2" w:rsidRPr="00632980" w:rsidRDefault="001353B2" w:rsidP="000D3520">
            <w:pPr>
              <w:pStyle w:val="NormalWeb"/>
              <w:spacing w:before="0" w:beforeAutospacing="0" w:after="0" w:afterAutospacing="0"/>
              <w:jc w:val="both"/>
              <w:rPr>
                <w:noProof/>
              </w:rPr>
            </w:pPr>
            <w:r w:rsidRPr="00632980">
              <w:rPr>
                <w:noProof/>
              </w:rPr>
              <w:t>Jaunu institūciju izveide, esošo institūciju likvidācija vai reorganizācija netiek paredzēta.</w:t>
            </w:r>
          </w:p>
          <w:p w14:paraId="63BF73E9" w14:textId="252173C6" w:rsidR="00572A89" w:rsidRPr="00632980" w:rsidRDefault="001353B2" w:rsidP="00572A89">
            <w:pPr>
              <w:pStyle w:val="NormalWeb"/>
              <w:spacing w:before="0" w:beforeAutospacing="0" w:after="0" w:afterAutospacing="0"/>
              <w:jc w:val="both"/>
              <w:rPr>
                <w:noProof/>
              </w:rPr>
            </w:pPr>
            <w:r w:rsidRPr="00632980">
              <w:rPr>
                <w:noProof/>
              </w:rPr>
              <w:t xml:space="preserve">Likumprojekts tiks realizēts, </w:t>
            </w:r>
            <w:r w:rsidR="00651117" w:rsidRPr="00632980">
              <w:rPr>
                <w:noProof/>
              </w:rPr>
              <w:t>esošo cilvēkresursu ietvaros.</w:t>
            </w:r>
          </w:p>
        </w:tc>
      </w:tr>
      <w:tr w:rsidR="00A22B1F" w:rsidRPr="00632980" w14:paraId="63BF73EE" w14:textId="77777777" w:rsidTr="0069144E">
        <w:tc>
          <w:tcPr>
            <w:tcW w:w="357" w:type="pct"/>
            <w:tcBorders>
              <w:top w:val="outset" w:sz="6" w:space="0" w:color="000000"/>
              <w:left w:val="outset" w:sz="6" w:space="0" w:color="000000"/>
              <w:bottom w:val="outset" w:sz="6" w:space="0" w:color="000000"/>
              <w:right w:val="outset" w:sz="6" w:space="0" w:color="000000"/>
            </w:tcBorders>
            <w:hideMark/>
          </w:tcPr>
          <w:p w14:paraId="63BF73EB" w14:textId="77777777" w:rsidR="001E4890" w:rsidRPr="00632980" w:rsidRDefault="00880A15" w:rsidP="000D3520">
            <w:pPr>
              <w:pStyle w:val="NormalWeb"/>
              <w:spacing w:before="0" w:beforeAutospacing="0" w:after="0" w:afterAutospacing="0"/>
              <w:rPr>
                <w:noProof/>
              </w:rPr>
            </w:pPr>
            <w:r w:rsidRPr="00632980">
              <w:rPr>
                <w:noProof/>
              </w:rPr>
              <w:t>3</w:t>
            </w:r>
            <w:r w:rsidR="001E4890" w:rsidRPr="00632980">
              <w:rPr>
                <w:noProof/>
              </w:rPr>
              <w:t>.</w:t>
            </w:r>
          </w:p>
        </w:tc>
        <w:tc>
          <w:tcPr>
            <w:tcW w:w="2215" w:type="pct"/>
            <w:tcBorders>
              <w:top w:val="outset" w:sz="6" w:space="0" w:color="000000"/>
              <w:left w:val="outset" w:sz="6" w:space="0" w:color="000000"/>
              <w:bottom w:val="outset" w:sz="6" w:space="0" w:color="000000"/>
              <w:right w:val="outset" w:sz="6" w:space="0" w:color="000000"/>
            </w:tcBorders>
            <w:hideMark/>
          </w:tcPr>
          <w:p w14:paraId="63BF73EC" w14:textId="77777777" w:rsidR="001E4890" w:rsidRPr="00632980" w:rsidRDefault="001E4890" w:rsidP="000D3520">
            <w:pPr>
              <w:pStyle w:val="NormalWeb"/>
              <w:spacing w:before="0" w:beforeAutospacing="0" w:after="0" w:afterAutospacing="0"/>
              <w:rPr>
                <w:noProof/>
              </w:rPr>
            </w:pPr>
            <w:r w:rsidRPr="00632980">
              <w:rPr>
                <w:noProof/>
              </w:rPr>
              <w:t>Cita informācija</w:t>
            </w:r>
          </w:p>
        </w:tc>
        <w:tc>
          <w:tcPr>
            <w:tcW w:w="2429" w:type="pct"/>
            <w:tcBorders>
              <w:top w:val="outset" w:sz="6" w:space="0" w:color="000000"/>
              <w:left w:val="outset" w:sz="6" w:space="0" w:color="000000"/>
              <w:bottom w:val="outset" w:sz="6" w:space="0" w:color="000000"/>
              <w:right w:val="outset" w:sz="6" w:space="0" w:color="000000"/>
            </w:tcBorders>
            <w:hideMark/>
          </w:tcPr>
          <w:p w14:paraId="63BF73ED" w14:textId="77777777" w:rsidR="001E4890" w:rsidRPr="00632980" w:rsidRDefault="001E4890" w:rsidP="000D3520">
            <w:pPr>
              <w:pStyle w:val="NormalWeb"/>
              <w:spacing w:before="0" w:beforeAutospacing="0" w:after="0" w:afterAutospacing="0"/>
              <w:rPr>
                <w:noProof/>
              </w:rPr>
            </w:pPr>
            <w:r w:rsidRPr="00632980">
              <w:rPr>
                <w:noProof/>
              </w:rPr>
              <w:t>Nav</w:t>
            </w:r>
            <w:r w:rsidR="0026359B" w:rsidRPr="00632980">
              <w:rPr>
                <w:noProof/>
              </w:rPr>
              <w:t>.</w:t>
            </w:r>
          </w:p>
        </w:tc>
      </w:tr>
    </w:tbl>
    <w:p w14:paraId="63BF73EF" w14:textId="77777777" w:rsidR="001E4890" w:rsidRPr="00632980" w:rsidRDefault="001E4890" w:rsidP="000D3520">
      <w:pPr>
        <w:rPr>
          <w:noProof/>
        </w:rPr>
      </w:pPr>
    </w:p>
    <w:p w14:paraId="2797DFB7" w14:textId="77777777" w:rsidR="00C12AF6" w:rsidRPr="00632980" w:rsidRDefault="00C12AF6" w:rsidP="000D3520">
      <w:pPr>
        <w:rPr>
          <w:noProof/>
        </w:rPr>
      </w:pPr>
    </w:p>
    <w:p w14:paraId="451093D6" w14:textId="77777777" w:rsidR="00CF7E80" w:rsidRPr="00632980" w:rsidRDefault="00CF7E80" w:rsidP="004D2EFA">
      <w:pPr>
        <w:tabs>
          <w:tab w:val="left" w:pos="6521"/>
          <w:tab w:val="right" w:pos="8820"/>
        </w:tabs>
        <w:ind w:firstLine="709"/>
        <w:rPr>
          <w:noProof/>
        </w:rPr>
      </w:pPr>
    </w:p>
    <w:p w14:paraId="1C2D2C7F" w14:textId="33233F5A" w:rsidR="005A380D" w:rsidRPr="00632980" w:rsidRDefault="005A380D" w:rsidP="0069144E">
      <w:pPr>
        <w:jc w:val="both"/>
        <w:rPr>
          <w:noProof/>
        </w:rPr>
      </w:pPr>
      <w:r w:rsidRPr="00632980">
        <w:rPr>
          <w:noProof/>
        </w:rPr>
        <w:t>Finanšu ministrs</w:t>
      </w:r>
      <w:r w:rsidRPr="00632980">
        <w:rPr>
          <w:noProof/>
        </w:rPr>
        <w:tab/>
      </w:r>
      <w:r w:rsidRPr="00632980">
        <w:rPr>
          <w:noProof/>
        </w:rPr>
        <w:tab/>
      </w:r>
      <w:r w:rsidRPr="00632980">
        <w:rPr>
          <w:noProof/>
        </w:rPr>
        <w:tab/>
      </w:r>
      <w:r w:rsidRPr="00632980">
        <w:rPr>
          <w:noProof/>
        </w:rPr>
        <w:tab/>
      </w:r>
      <w:r w:rsidRPr="00632980">
        <w:rPr>
          <w:noProof/>
        </w:rPr>
        <w:tab/>
        <w:t xml:space="preserve">        </w:t>
      </w:r>
      <w:r w:rsidR="0069144E">
        <w:rPr>
          <w:noProof/>
        </w:rPr>
        <w:t xml:space="preserve">               </w:t>
      </w:r>
      <w:r w:rsidRPr="00632980">
        <w:rPr>
          <w:noProof/>
        </w:rPr>
        <w:t xml:space="preserve">       </w:t>
      </w:r>
      <w:r w:rsidRPr="00632980">
        <w:rPr>
          <w:noProof/>
          <w:shd w:val="clear" w:color="auto" w:fill="FFFFFF"/>
        </w:rPr>
        <w:t>J.Reirs</w:t>
      </w:r>
      <w:r w:rsidRPr="00632980">
        <w:rPr>
          <w:noProof/>
        </w:rPr>
        <w:tab/>
        <w:t xml:space="preserve"> </w:t>
      </w:r>
    </w:p>
    <w:p w14:paraId="0C10B7B1" w14:textId="77777777" w:rsidR="005A380D" w:rsidRPr="00632980" w:rsidRDefault="005A380D" w:rsidP="005A380D">
      <w:pPr>
        <w:tabs>
          <w:tab w:val="center" w:pos="4153"/>
          <w:tab w:val="right" w:pos="8306"/>
        </w:tabs>
        <w:rPr>
          <w:noProof/>
        </w:rPr>
      </w:pPr>
    </w:p>
    <w:p w14:paraId="10B4D54E" w14:textId="77777777" w:rsidR="00CF7E80" w:rsidRPr="00632980" w:rsidRDefault="00CF7E80" w:rsidP="004D2EFA">
      <w:pPr>
        <w:tabs>
          <w:tab w:val="center" w:pos="4153"/>
          <w:tab w:val="right" w:pos="8306"/>
        </w:tabs>
        <w:rPr>
          <w:noProof/>
          <w:spacing w:val="-2"/>
        </w:rPr>
      </w:pPr>
    </w:p>
    <w:p w14:paraId="5900A26A" w14:textId="77777777" w:rsidR="00CE1FF7" w:rsidRDefault="00CE1FF7" w:rsidP="004D2EFA">
      <w:pPr>
        <w:tabs>
          <w:tab w:val="center" w:pos="4153"/>
          <w:tab w:val="right" w:pos="8306"/>
        </w:tabs>
        <w:rPr>
          <w:noProof/>
          <w:spacing w:val="-2"/>
          <w:sz w:val="20"/>
          <w:szCs w:val="20"/>
        </w:rPr>
      </w:pPr>
    </w:p>
    <w:p w14:paraId="0216038B" w14:textId="6E65F8A4" w:rsidR="004D2EFA" w:rsidRPr="00632980" w:rsidRDefault="004D2EFA" w:rsidP="004D2EFA">
      <w:pPr>
        <w:tabs>
          <w:tab w:val="center" w:pos="4153"/>
          <w:tab w:val="right" w:pos="8306"/>
        </w:tabs>
        <w:rPr>
          <w:noProof/>
          <w:spacing w:val="-2"/>
          <w:sz w:val="20"/>
          <w:szCs w:val="20"/>
        </w:rPr>
      </w:pPr>
      <w:r w:rsidRPr="00632980">
        <w:rPr>
          <w:noProof/>
          <w:spacing w:val="-2"/>
          <w:sz w:val="20"/>
          <w:szCs w:val="20"/>
        </w:rPr>
        <w:t>Avotiņa, 67095515</w:t>
      </w:r>
    </w:p>
    <w:p w14:paraId="7C29048E" w14:textId="7136AF9D" w:rsidR="000D3520" w:rsidRPr="00632980" w:rsidRDefault="00D456B0" w:rsidP="004D2EFA">
      <w:pPr>
        <w:jc w:val="both"/>
        <w:rPr>
          <w:noProof/>
          <w:sz w:val="20"/>
          <w:szCs w:val="20"/>
        </w:rPr>
      </w:pPr>
      <w:hyperlink r:id="rId12" w:history="1">
        <w:r w:rsidR="004D2EFA" w:rsidRPr="00632980">
          <w:rPr>
            <w:rStyle w:val="Hyperlink"/>
            <w:noProof/>
            <w:color w:val="0000CC"/>
            <w:spacing w:val="-2"/>
            <w:sz w:val="20"/>
            <w:szCs w:val="20"/>
          </w:rPr>
          <w:t>inga.avotina@fm.gov.lv</w:t>
        </w:r>
      </w:hyperlink>
    </w:p>
    <w:sectPr w:rsidR="000D3520" w:rsidRPr="00632980" w:rsidSect="00E36A26">
      <w:headerReference w:type="even" r:id="rId13"/>
      <w:headerReference w:type="default" r:id="rId14"/>
      <w:footerReference w:type="even" r:id="rId15"/>
      <w:footerReference w:type="default" r:id="rId16"/>
      <w:footerReference w:type="first" r:id="rId17"/>
      <w:pgSz w:w="11906" w:h="16838" w:code="9"/>
      <w:pgMar w:top="1418" w:right="1134" w:bottom="1134" w:left="1701"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5A7A" w14:textId="77777777" w:rsidR="00D456B0" w:rsidRDefault="00D456B0">
      <w:r>
        <w:separator/>
      </w:r>
    </w:p>
  </w:endnote>
  <w:endnote w:type="continuationSeparator" w:id="0">
    <w:p w14:paraId="574EC17F" w14:textId="77777777" w:rsidR="00D456B0" w:rsidRDefault="00D4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7418"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7419" w14:textId="77777777" w:rsidR="009439B5" w:rsidRDefault="009439B5" w:rsidP="00E672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8F9B" w14:textId="5F49E6B6" w:rsidR="00372B9B" w:rsidRPr="00372B9B" w:rsidRDefault="00372B9B">
    <w:pPr>
      <w:pStyle w:val="Footer"/>
      <w:rPr>
        <w:sz w:val="20"/>
        <w:szCs w:val="20"/>
      </w:rPr>
    </w:pPr>
    <w:r w:rsidRPr="00372B9B">
      <w:rPr>
        <w:sz w:val="20"/>
        <w:szCs w:val="20"/>
      </w:rPr>
      <w:t>FManot_</w:t>
    </w:r>
    <w:r w:rsidR="00EB7517">
      <w:rPr>
        <w:sz w:val="20"/>
        <w:szCs w:val="20"/>
      </w:rPr>
      <w:t>24</w:t>
    </w:r>
    <w:r w:rsidR="00640A51">
      <w:rPr>
        <w:sz w:val="20"/>
        <w:szCs w:val="20"/>
      </w:rPr>
      <w:t>0919</w:t>
    </w:r>
    <w:r w:rsidRPr="00372B9B">
      <w:rPr>
        <w:sz w:val="20"/>
        <w:szCs w:val="20"/>
      </w:rPr>
      <w:t>_IANNgroz.docx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741B" w14:textId="2400DBA2" w:rsidR="009439B5" w:rsidRPr="00372B9B" w:rsidRDefault="00372B9B" w:rsidP="00FA6931">
    <w:pPr>
      <w:pStyle w:val="Footer"/>
      <w:rPr>
        <w:sz w:val="20"/>
        <w:szCs w:val="20"/>
      </w:rPr>
    </w:pPr>
    <w:r w:rsidRPr="00372B9B">
      <w:rPr>
        <w:sz w:val="20"/>
        <w:szCs w:val="20"/>
      </w:rPr>
      <w:t>FManot_</w:t>
    </w:r>
    <w:r w:rsidR="00EB7517">
      <w:rPr>
        <w:sz w:val="20"/>
        <w:szCs w:val="20"/>
      </w:rPr>
      <w:t>24</w:t>
    </w:r>
    <w:r w:rsidR="00E52F67">
      <w:rPr>
        <w:sz w:val="20"/>
        <w:szCs w:val="20"/>
      </w:rPr>
      <w:t>0919</w:t>
    </w:r>
    <w:r w:rsidRPr="00372B9B">
      <w:rPr>
        <w:sz w:val="20"/>
        <w:szCs w:val="20"/>
      </w:rPr>
      <w:t>_IANNgroz.docx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377B1" w14:textId="77777777" w:rsidR="00D456B0" w:rsidRDefault="00D456B0">
      <w:r>
        <w:separator/>
      </w:r>
    </w:p>
  </w:footnote>
  <w:footnote w:type="continuationSeparator" w:id="0">
    <w:p w14:paraId="3F54785B" w14:textId="77777777" w:rsidR="00D456B0" w:rsidRDefault="00D4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7414"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F7415" w14:textId="77777777" w:rsidR="009439B5" w:rsidRDefault="00943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7416" w14:textId="01FA15B0"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FCB">
      <w:rPr>
        <w:rStyle w:val="PageNumber"/>
        <w:noProof/>
      </w:rPr>
      <w:t>5</w:t>
    </w:r>
    <w:r>
      <w:rPr>
        <w:rStyle w:val="PageNumber"/>
      </w:rPr>
      <w:fldChar w:fldCharType="end"/>
    </w:r>
  </w:p>
  <w:p w14:paraId="63BF7417" w14:textId="77777777" w:rsidR="009439B5" w:rsidRPr="004F7101" w:rsidRDefault="009439B5" w:rsidP="004F7101">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CF554CE"/>
    <w:multiLevelType w:val="hybridMultilevel"/>
    <w:tmpl w:val="46884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15:restartNumberingAfterBreak="0">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B3F1C16"/>
    <w:multiLevelType w:val="hybridMultilevel"/>
    <w:tmpl w:val="7BD2B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34BA6"/>
    <w:multiLevelType w:val="hybridMultilevel"/>
    <w:tmpl w:val="CC40333A"/>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435A0D03"/>
    <w:multiLevelType w:val="hybridMultilevel"/>
    <w:tmpl w:val="C470B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780AB8"/>
    <w:multiLevelType w:val="hybridMultilevel"/>
    <w:tmpl w:val="EB48EBC0"/>
    <w:lvl w:ilvl="0" w:tplc="04260001">
      <w:start w:val="1"/>
      <w:numFmt w:val="bullet"/>
      <w:lvlText w:val=""/>
      <w:lvlJc w:val="left"/>
      <w:pPr>
        <w:ind w:left="2911" w:hanging="360"/>
      </w:pPr>
      <w:rPr>
        <w:rFonts w:ascii="Symbol" w:hAnsi="Symbol" w:hint="default"/>
      </w:rPr>
    </w:lvl>
    <w:lvl w:ilvl="1" w:tplc="04260003" w:tentative="1">
      <w:start w:val="1"/>
      <w:numFmt w:val="bullet"/>
      <w:lvlText w:val="o"/>
      <w:lvlJc w:val="left"/>
      <w:pPr>
        <w:ind w:left="3631" w:hanging="360"/>
      </w:pPr>
      <w:rPr>
        <w:rFonts w:ascii="Courier New" w:hAnsi="Courier New" w:cs="Courier New" w:hint="default"/>
      </w:rPr>
    </w:lvl>
    <w:lvl w:ilvl="2" w:tplc="04260005" w:tentative="1">
      <w:start w:val="1"/>
      <w:numFmt w:val="bullet"/>
      <w:lvlText w:val=""/>
      <w:lvlJc w:val="left"/>
      <w:pPr>
        <w:ind w:left="4351" w:hanging="360"/>
      </w:pPr>
      <w:rPr>
        <w:rFonts w:ascii="Wingdings" w:hAnsi="Wingdings" w:hint="default"/>
      </w:rPr>
    </w:lvl>
    <w:lvl w:ilvl="3" w:tplc="04260001" w:tentative="1">
      <w:start w:val="1"/>
      <w:numFmt w:val="bullet"/>
      <w:lvlText w:val=""/>
      <w:lvlJc w:val="left"/>
      <w:pPr>
        <w:ind w:left="5071" w:hanging="360"/>
      </w:pPr>
      <w:rPr>
        <w:rFonts w:ascii="Symbol" w:hAnsi="Symbol" w:hint="default"/>
      </w:rPr>
    </w:lvl>
    <w:lvl w:ilvl="4" w:tplc="04260003" w:tentative="1">
      <w:start w:val="1"/>
      <w:numFmt w:val="bullet"/>
      <w:lvlText w:val="o"/>
      <w:lvlJc w:val="left"/>
      <w:pPr>
        <w:ind w:left="5791" w:hanging="360"/>
      </w:pPr>
      <w:rPr>
        <w:rFonts w:ascii="Courier New" w:hAnsi="Courier New" w:cs="Courier New" w:hint="default"/>
      </w:rPr>
    </w:lvl>
    <w:lvl w:ilvl="5" w:tplc="04260005" w:tentative="1">
      <w:start w:val="1"/>
      <w:numFmt w:val="bullet"/>
      <w:lvlText w:val=""/>
      <w:lvlJc w:val="left"/>
      <w:pPr>
        <w:ind w:left="6511" w:hanging="360"/>
      </w:pPr>
      <w:rPr>
        <w:rFonts w:ascii="Wingdings" w:hAnsi="Wingdings" w:hint="default"/>
      </w:rPr>
    </w:lvl>
    <w:lvl w:ilvl="6" w:tplc="04260001" w:tentative="1">
      <w:start w:val="1"/>
      <w:numFmt w:val="bullet"/>
      <w:lvlText w:val=""/>
      <w:lvlJc w:val="left"/>
      <w:pPr>
        <w:ind w:left="7231" w:hanging="360"/>
      </w:pPr>
      <w:rPr>
        <w:rFonts w:ascii="Symbol" w:hAnsi="Symbol" w:hint="default"/>
      </w:rPr>
    </w:lvl>
    <w:lvl w:ilvl="7" w:tplc="04260003" w:tentative="1">
      <w:start w:val="1"/>
      <w:numFmt w:val="bullet"/>
      <w:lvlText w:val="o"/>
      <w:lvlJc w:val="left"/>
      <w:pPr>
        <w:ind w:left="7951" w:hanging="360"/>
      </w:pPr>
      <w:rPr>
        <w:rFonts w:ascii="Courier New" w:hAnsi="Courier New" w:cs="Courier New" w:hint="default"/>
      </w:rPr>
    </w:lvl>
    <w:lvl w:ilvl="8" w:tplc="04260005" w:tentative="1">
      <w:start w:val="1"/>
      <w:numFmt w:val="bullet"/>
      <w:lvlText w:val=""/>
      <w:lvlJc w:val="left"/>
      <w:pPr>
        <w:ind w:left="8671" w:hanging="360"/>
      </w:pPr>
      <w:rPr>
        <w:rFonts w:ascii="Wingdings" w:hAnsi="Wingdings" w:hint="default"/>
      </w:rPr>
    </w:lvl>
  </w:abstractNum>
  <w:abstractNum w:abstractNumId="14" w15:restartNumberingAfterBreak="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4B2D53D8"/>
    <w:multiLevelType w:val="hybridMultilevel"/>
    <w:tmpl w:val="9EF0DA8A"/>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4B11D66"/>
    <w:multiLevelType w:val="multilevel"/>
    <w:tmpl w:val="6496449E"/>
    <w:lvl w:ilvl="0">
      <w:start w:val="1"/>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907DBB"/>
    <w:multiLevelType w:val="hybridMultilevel"/>
    <w:tmpl w:val="87705B7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2" w15:restartNumberingAfterBreak="0">
    <w:nsid w:val="676B4376"/>
    <w:multiLevelType w:val="hybridMultilevel"/>
    <w:tmpl w:val="975E6E5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3" w15:restartNumberingAfterBreak="0">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4" w15:restartNumberingAfterBreak="0">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7"/>
  </w:num>
  <w:num w:numId="2">
    <w:abstractNumId w:val="23"/>
  </w:num>
  <w:num w:numId="3">
    <w:abstractNumId w:val="25"/>
  </w:num>
  <w:num w:numId="4">
    <w:abstractNumId w:val="1"/>
  </w:num>
  <w:num w:numId="5">
    <w:abstractNumId w:val="7"/>
  </w:num>
  <w:num w:numId="6">
    <w:abstractNumId w:val="24"/>
  </w:num>
  <w:num w:numId="7">
    <w:abstractNumId w:val="4"/>
  </w:num>
  <w:num w:numId="8">
    <w:abstractNumId w:val="8"/>
  </w:num>
  <w:num w:numId="9">
    <w:abstractNumId w:val="14"/>
  </w:num>
  <w:num w:numId="10">
    <w:abstractNumId w:val="6"/>
  </w:num>
  <w:num w:numId="11">
    <w:abstractNumId w:val="19"/>
  </w:num>
  <w:num w:numId="12">
    <w:abstractNumId w:val="26"/>
  </w:num>
  <w:num w:numId="13">
    <w:abstractNumId w:val="3"/>
  </w:num>
  <w:num w:numId="14">
    <w:abstractNumId w:val="0"/>
  </w:num>
  <w:num w:numId="15">
    <w:abstractNumId w:val="5"/>
  </w:num>
  <w:num w:numId="16">
    <w:abstractNumId w:val="10"/>
  </w:num>
  <w:num w:numId="17">
    <w:abstractNumId w:val="18"/>
  </w:num>
  <w:num w:numId="18">
    <w:abstractNumId w:val="16"/>
  </w:num>
  <w:num w:numId="19">
    <w:abstractNumId w:val="11"/>
  </w:num>
  <w:num w:numId="20">
    <w:abstractNumId w:val="17"/>
  </w:num>
  <w:num w:numId="21">
    <w:abstractNumId w:val="2"/>
  </w:num>
  <w:num w:numId="22">
    <w:abstractNumId w:val="9"/>
  </w:num>
  <w:num w:numId="23">
    <w:abstractNumId w:val="12"/>
  </w:num>
  <w:num w:numId="24">
    <w:abstractNumId w:val="13"/>
  </w:num>
  <w:num w:numId="25">
    <w:abstractNumId w:val="22"/>
  </w:num>
  <w:num w:numId="26">
    <w:abstractNumId w:val="15"/>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239"/>
    <w:rsid w:val="0000013D"/>
    <w:rsid w:val="00001AB3"/>
    <w:rsid w:val="00001ECF"/>
    <w:rsid w:val="00003633"/>
    <w:rsid w:val="000039B7"/>
    <w:rsid w:val="00007210"/>
    <w:rsid w:val="00010698"/>
    <w:rsid w:val="000142E6"/>
    <w:rsid w:val="0001718B"/>
    <w:rsid w:val="0002043D"/>
    <w:rsid w:val="00020E02"/>
    <w:rsid w:val="000215CC"/>
    <w:rsid w:val="0002342B"/>
    <w:rsid w:val="000235F2"/>
    <w:rsid w:val="00026B38"/>
    <w:rsid w:val="00026D21"/>
    <w:rsid w:val="00027D92"/>
    <w:rsid w:val="00031574"/>
    <w:rsid w:val="00032913"/>
    <w:rsid w:val="00035354"/>
    <w:rsid w:val="00040E0A"/>
    <w:rsid w:val="00042338"/>
    <w:rsid w:val="00044877"/>
    <w:rsid w:val="00046181"/>
    <w:rsid w:val="00047364"/>
    <w:rsid w:val="00047D53"/>
    <w:rsid w:val="00047E2B"/>
    <w:rsid w:val="0005189C"/>
    <w:rsid w:val="00051A01"/>
    <w:rsid w:val="00052654"/>
    <w:rsid w:val="00053620"/>
    <w:rsid w:val="00053F8A"/>
    <w:rsid w:val="000549AE"/>
    <w:rsid w:val="00054CDF"/>
    <w:rsid w:val="0005658C"/>
    <w:rsid w:val="0005736C"/>
    <w:rsid w:val="000576DA"/>
    <w:rsid w:val="0006132B"/>
    <w:rsid w:val="00061BFF"/>
    <w:rsid w:val="00062165"/>
    <w:rsid w:val="00062337"/>
    <w:rsid w:val="00062AC3"/>
    <w:rsid w:val="00063764"/>
    <w:rsid w:val="000650E2"/>
    <w:rsid w:val="00065458"/>
    <w:rsid w:val="00065A07"/>
    <w:rsid w:val="0007105F"/>
    <w:rsid w:val="0007177C"/>
    <w:rsid w:val="000733D6"/>
    <w:rsid w:val="0007487C"/>
    <w:rsid w:val="000751F5"/>
    <w:rsid w:val="000761E8"/>
    <w:rsid w:val="00076E30"/>
    <w:rsid w:val="00085006"/>
    <w:rsid w:val="00085B64"/>
    <w:rsid w:val="00085D40"/>
    <w:rsid w:val="000865BC"/>
    <w:rsid w:val="00087B26"/>
    <w:rsid w:val="00095652"/>
    <w:rsid w:val="00095B9A"/>
    <w:rsid w:val="00096000"/>
    <w:rsid w:val="000961DA"/>
    <w:rsid w:val="00097A82"/>
    <w:rsid w:val="000A06E7"/>
    <w:rsid w:val="000A2E50"/>
    <w:rsid w:val="000A3608"/>
    <w:rsid w:val="000A3996"/>
    <w:rsid w:val="000A3E14"/>
    <w:rsid w:val="000A441E"/>
    <w:rsid w:val="000A6DDB"/>
    <w:rsid w:val="000A716C"/>
    <w:rsid w:val="000A7187"/>
    <w:rsid w:val="000A7E6D"/>
    <w:rsid w:val="000A7F4E"/>
    <w:rsid w:val="000B0624"/>
    <w:rsid w:val="000B4230"/>
    <w:rsid w:val="000C07F9"/>
    <w:rsid w:val="000C0E8A"/>
    <w:rsid w:val="000C104E"/>
    <w:rsid w:val="000C4152"/>
    <w:rsid w:val="000C4D22"/>
    <w:rsid w:val="000C7791"/>
    <w:rsid w:val="000D001D"/>
    <w:rsid w:val="000D0713"/>
    <w:rsid w:val="000D2508"/>
    <w:rsid w:val="000D3520"/>
    <w:rsid w:val="000D3CF1"/>
    <w:rsid w:val="000D3D67"/>
    <w:rsid w:val="000D56AA"/>
    <w:rsid w:val="000D6B22"/>
    <w:rsid w:val="000E0A41"/>
    <w:rsid w:val="000E1362"/>
    <w:rsid w:val="000E1545"/>
    <w:rsid w:val="000E4926"/>
    <w:rsid w:val="000E638B"/>
    <w:rsid w:val="000E6C5A"/>
    <w:rsid w:val="000F01C4"/>
    <w:rsid w:val="000F092F"/>
    <w:rsid w:val="000F1C39"/>
    <w:rsid w:val="000F4234"/>
    <w:rsid w:val="000F52CA"/>
    <w:rsid w:val="000F758B"/>
    <w:rsid w:val="00100F11"/>
    <w:rsid w:val="00103556"/>
    <w:rsid w:val="001036E5"/>
    <w:rsid w:val="001044CC"/>
    <w:rsid w:val="00104785"/>
    <w:rsid w:val="00104AFF"/>
    <w:rsid w:val="00105B00"/>
    <w:rsid w:val="00105D9D"/>
    <w:rsid w:val="00106600"/>
    <w:rsid w:val="001148C9"/>
    <w:rsid w:val="00115101"/>
    <w:rsid w:val="0011634E"/>
    <w:rsid w:val="001171F3"/>
    <w:rsid w:val="001172F6"/>
    <w:rsid w:val="001173E0"/>
    <w:rsid w:val="001237BA"/>
    <w:rsid w:val="001249BA"/>
    <w:rsid w:val="00126CEB"/>
    <w:rsid w:val="00126D5D"/>
    <w:rsid w:val="00127906"/>
    <w:rsid w:val="00133727"/>
    <w:rsid w:val="00135026"/>
    <w:rsid w:val="001353B2"/>
    <w:rsid w:val="001362A3"/>
    <w:rsid w:val="001368B1"/>
    <w:rsid w:val="00136A52"/>
    <w:rsid w:val="001419B1"/>
    <w:rsid w:val="00142044"/>
    <w:rsid w:val="0014307B"/>
    <w:rsid w:val="0014356A"/>
    <w:rsid w:val="00145CA2"/>
    <w:rsid w:val="001469CE"/>
    <w:rsid w:val="00147C6A"/>
    <w:rsid w:val="00150672"/>
    <w:rsid w:val="00150D1D"/>
    <w:rsid w:val="00151057"/>
    <w:rsid w:val="001570A6"/>
    <w:rsid w:val="001601D0"/>
    <w:rsid w:val="001604B9"/>
    <w:rsid w:val="001617BA"/>
    <w:rsid w:val="0016358A"/>
    <w:rsid w:val="00164F5B"/>
    <w:rsid w:val="00165D83"/>
    <w:rsid w:val="00166F8F"/>
    <w:rsid w:val="00167206"/>
    <w:rsid w:val="00170DF1"/>
    <w:rsid w:val="00171776"/>
    <w:rsid w:val="00171DC4"/>
    <w:rsid w:val="001725B0"/>
    <w:rsid w:val="00172E78"/>
    <w:rsid w:val="001731F3"/>
    <w:rsid w:val="00173291"/>
    <w:rsid w:val="001738DC"/>
    <w:rsid w:val="00174301"/>
    <w:rsid w:val="00174889"/>
    <w:rsid w:val="00174E52"/>
    <w:rsid w:val="00177FE8"/>
    <w:rsid w:val="00182C02"/>
    <w:rsid w:val="00182C0B"/>
    <w:rsid w:val="0018309B"/>
    <w:rsid w:val="0018480C"/>
    <w:rsid w:val="0018701E"/>
    <w:rsid w:val="00187E06"/>
    <w:rsid w:val="001911FC"/>
    <w:rsid w:val="001929B1"/>
    <w:rsid w:val="00193AAB"/>
    <w:rsid w:val="00194389"/>
    <w:rsid w:val="001952EA"/>
    <w:rsid w:val="00196543"/>
    <w:rsid w:val="00197757"/>
    <w:rsid w:val="0019791D"/>
    <w:rsid w:val="001A70F0"/>
    <w:rsid w:val="001A7D5F"/>
    <w:rsid w:val="001A7E6B"/>
    <w:rsid w:val="001C25B8"/>
    <w:rsid w:val="001C386F"/>
    <w:rsid w:val="001D038F"/>
    <w:rsid w:val="001D12DE"/>
    <w:rsid w:val="001D251A"/>
    <w:rsid w:val="001D5B53"/>
    <w:rsid w:val="001D6249"/>
    <w:rsid w:val="001E2366"/>
    <w:rsid w:val="001E4890"/>
    <w:rsid w:val="001E75CA"/>
    <w:rsid w:val="001F089C"/>
    <w:rsid w:val="001F0A71"/>
    <w:rsid w:val="001F21CB"/>
    <w:rsid w:val="001F4C8F"/>
    <w:rsid w:val="001F57A4"/>
    <w:rsid w:val="001F6166"/>
    <w:rsid w:val="001F7156"/>
    <w:rsid w:val="001F722B"/>
    <w:rsid w:val="001F75EA"/>
    <w:rsid w:val="00203870"/>
    <w:rsid w:val="0020545A"/>
    <w:rsid w:val="002067F2"/>
    <w:rsid w:val="00207B9B"/>
    <w:rsid w:val="00212CDB"/>
    <w:rsid w:val="002131F3"/>
    <w:rsid w:val="002144A3"/>
    <w:rsid w:val="00217C3F"/>
    <w:rsid w:val="002229C2"/>
    <w:rsid w:val="002254C5"/>
    <w:rsid w:val="00225C6A"/>
    <w:rsid w:val="00227472"/>
    <w:rsid w:val="002319F9"/>
    <w:rsid w:val="00232290"/>
    <w:rsid w:val="00232FC7"/>
    <w:rsid w:val="002348C4"/>
    <w:rsid w:val="00236243"/>
    <w:rsid w:val="002372E5"/>
    <w:rsid w:val="0024373E"/>
    <w:rsid w:val="002438DB"/>
    <w:rsid w:val="002461F5"/>
    <w:rsid w:val="00246735"/>
    <w:rsid w:val="002476FE"/>
    <w:rsid w:val="0025017B"/>
    <w:rsid w:val="00251BD6"/>
    <w:rsid w:val="002551B8"/>
    <w:rsid w:val="00255A73"/>
    <w:rsid w:val="002560E4"/>
    <w:rsid w:val="0026006B"/>
    <w:rsid w:val="00262F54"/>
    <w:rsid w:val="0026359B"/>
    <w:rsid w:val="00264CAA"/>
    <w:rsid w:val="00270489"/>
    <w:rsid w:val="002712C0"/>
    <w:rsid w:val="00273BDE"/>
    <w:rsid w:val="00273FA2"/>
    <w:rsid w:val="00276BAC"/>
    <w:rsid w:val="0028080F"/>
    <w:rsid w:val="0028218C"/>
    <w:rsid w:val="00285008"/>
    <w:rsid w:val="002855BC"/>
    <w:rsid w:val="00290393"/>
    <w:rsid w:val="00290DC4"/>
    <w:rsid w:val="00290EA6"/>
    <w:rsid w:val="00291420"/>
    <w:rsid w:val="0029515B"/>
    <w:rsid w:val="00295A81"/>
    <w:rsid w:val="00296E93"/>
    <w:rsid w:val="002A143A"/>
    <w:rsid w:val="002A1A91"/>
    <w:rsid w:val="002A2389"/>
    <w:rsid w:val="002A3D53"/>
    <w:rsid w:val="002A4330"/>
    <w:rsid w:val="002A4871"/>
    <w:rsid w:val="002A5373"/>
    <w:rsid w:val="002A6F46"/>
    <w:rsid w:val="002A7800"/>
    <w:rsid w:val="002A797A"/>
    <w:rsid w:val="002B1E4F"/>
    <w:rsid w:val="002B6D8B"/>
    <w:rsid w:val="002C04C1"/>
    <w:rsid w:val="002C1327"/>
    <w:rsid w:val="002C2881"/>
    <w:rsid w:val="002C2F59"/>
    <w:rsid w:val="002C5456"/>
    <w:rsid w:val="002C6539"/>
    <w:rsid w:val="002C66F4"/>
    <w:rsid w:val="002C72CC"/>
    <w:rsid w:val="002D083D"/>
    <w:rsid w:val="002D13AF"/>
    <w:rsid w:val="002D47FC"/>
    <w:rsid w:val="002D49DC"/>
    <w:rsid w:val="002D69F9"/>
    <w:rsid w:val="002D6DBF"/>
    <w:rsid w:val="002E23CC"/>
    <w:rsid w:val="002E3C62"/>
    <w:rsid w:val="002E41D7"/>
    <w:rsid w:val="002E6410"/>
    <w:rsid w:val="002E6F2E"/>
    <w:rsid w:val="002E79ED"/>
    <w:rsid w:val="002F0395"/>
    <w:rsid w:val="002F0740"/>
    <w:rsid w:val="002F081D"/>
    <w:rsid w:val="002F343B"/>
    <w:rsid w:val="002F7AE9"/>
    <w:rsid w:val="00300DC9"/>
    <w:rsid w:val="003013B7"/>
    <w:rsid w:val="00301AAC"/>
    <w:rsid w:val="00301C17"/>
    <w:rsid w:val="003023A3"/>
    <w:rsid w:val="00303B38"/>
    <w:rsid w:val="00305B96"/>
    <w:rsid w:val="003104F0"/>
    <w:rsid w:val="00310FF2"/>
    <w:rsid w:val="00314F97"/>
    <w:rsid w:val="00320B49"/>
    <w:rsid w:val="0032294D"/>
    <w:rsid w:val="00322CBE"/>
    <w:rsid w:val="0032318D"/>
    <w:rsid w:val="0032418A"/>
    <w:rsid w:val="00324B52"/>
    <w:rsid w:val="00325421"/>
    <w:rsid w:val="003260FD"/>
    <w:rsid w:val="00327F83"/>
    <w:rsid w:val="00331278"/>
    <w:rsid w:val="003312C2"/>
    <w:rsid w:val="00331977"/>
    <w:rsid w:val="00332137"/>
    <w:rsid w:val="00341340"/>
    <w:rsid w:val="003424A8"/>
    <w:rsid w:val="003424AC"/>
    <w:rsid w:val="0034319F"/>
    <w:rsid w:val="00343316"/>
    <w:rsid w:val="003435BC"/>
    <w:rsid w:val="00343979"/>
    <w:rsid w:val="00343C43"/>
    <w:rsid w:val="003442F7"/>
    <w:rsid w:val="00344387"/>
    <w:rsid w:val="003451C7"/>
    <w:rsid w:val="00346D36"/>
    <w:rsid w:val="0035030C"/>
    <w:rsid w:val="0035132A"/>
    <w:rsid w:val="00351CC6"/>
    <w:rsid w:val="00355287"/>
    <w:rsid w:val="00355F6B"/>
    <w:rsid w:val="003615B9"/>
    <w:rsid w:val="00361DA7"/>
    <w:rsid w:val="003659F6"/>
    <w:rsid w:val="00367DCF"/>
    <w:rsid w:val="0037222B"/>
    <w:rsid w:val="00372B9B"/>
    <w:rsid w:val="0037347B"/>
    <w:rsid w:val="0037584D"/>
    <w:rsid w:val="00375EC0"/>
    <w:rsid w:val="00376F87"/>
    <w:rsid w:val="0037706F"/>
    <w:rsid w:val="003821D5"/>
    <w:rsid w:val="00382C20"/>
    <w:rsid w:val="003834DD"/>
    <w:rsid w:val="003834F2"/>
    <w:rsid w:val="00384605"/>
    <w:rsid w:val="003907CA"/>
    <w:rsid w:val="00391231"/>
    <w:rsid w:val="00391BCF"/>
    <w:rsid w:val="00392F4F"/>
    <w:rsid w:val="0039325D"/>
    <w:rsid w:val="003938F1"/>
    <w:rsid w:val="00393ACC"/>
    <w:rsid w:val="00393D9C"/>
    <w:rsid w:val="003949F5"/>
    <w:rsid w:val="00395E7A"/>
    <w:rsid w:val="003A102E"/>
    <w:rsid w:val="003A3E26"/>
    <w:rsid w:val="003A4BE0"/>
    <w:rsid w:val="003A6DDE"/>
    <w:rsid w:val="003A7F83"/>
    <w:rsid w:val="003B4BEA"/>
    <w:rsid w:val="003B5F77"/>
    <w:rsid w:val="003B75BA"/>
    <w:rsid w:val="003C21AF"/>
    <w:rsid w:val="003C583E"/>
    <w:rsid w:val="003C62DB"/>
    <w:rsid w:val="003C720B"/>
    <w:rsid w:val="003C72C5"/>
    <w:rsid w:val="003C78E6"/>
    <w:rsid w:val="003D0E87"/>
    <w:rsid w:val="003D105B"/>
    <w:rsid w:val="003D170A"/>
    <w:rsid w:val="003D170F"/>
    <w:rsid w:val="003D5BCD"/>
    <w:rsid w:val="003E0D8D"/>
    <w:rsid w:val="003E129A"/>
    <w:rsid w:val="003E2622"/>
    <w:rsid w:val="003E30CC"/>
    <w:rsid w:val="003E558B"/>
    <w:rsid w:val="003E5C9F"/>
    <w:rsid w:val="003E7033"/>
    <w:rsid w:val="003E731F"/>
    <w:rsid w:val="003E74C1"/>
    <w:rsid w:val="003E7C26"/>
    <w:rsid w:val="003F0227"/>
    <w:rsid w:val="003F08FA"/>
    <w:rsid w:val="003F14B5"/>
    <w:rsid w:val="003F15C8"/>
    <w:rsid w:val="003F1647"/>
    <w:rsid w:val="003F18E0"/>
    <w:rsid w:val="003F48CE"/>
    <w:rsid w:val="004011A4"/>
    <w:rsid w:val="00401CF6"/>
    <w:rsid w:val="0040277D"/>
    <w:rsid w:val="004035C4"/>
    <w:rsid w:val="004049C3"/>
    <w:rsid w:val="0041108F"/>
    <w:rsid w:val="0041110C"/>
    <w:rsid w:val="00412F95"/>
    <w:rsid w:val="00415051"/>
    <w:rsid w:val="00416EA9"/>
    <w:rsid w:val="00420B60"/>
    <w:rsid w:val="004218F1"/>
    <w:rsid w:val="0042241E"/>
    <w:rsid w:val="004239FC"/>
    <w:rsid w:val="00425E94"/>
    <w:rsid w:val="0043042E"/>
    <w:rsid w:val="00432B8E"/>
    <w:rsid w:val="00432ECC"/>
    <w:rsid w:val="004331F8"/>
    <w:rsid w:val="0043362E"/>
    <w:rsid w:val="00442A67"/>
    <w:rsid w:val="004442BD"/>
    <w:rsid w:val="004453B7"/>
    <w:rsid w:val="00446175"/>
    <w:rsid w:val="004466F9"/>
    <w:rsid w:val="00447103"/>
    <w:rsid w:val="00450663"/>
    <w:rsid w:val="0045075A"/>
    <w:rsid w:val="004510E3"/>
    <w:rsid w:val="00452463"/>
    <w:rsid w:val="00453834"/>
    <w:rsid w:val="004556FA"/>
    <w:rsid w:val="004573AD"/>
    <w:rsid w:val="00461283"/>
    <w:rsid w:val="0046641F"/>
    <w:rsid w:val="00472123"/>
    <w:rsid w:val="00472716"/>
    <w:rsid w:val="0047688F"/>
    <w:rsid w:val="0047780E"/>
    <w:rsid w:val="00480261"/>
    <w:rsid w:val="00481CEC"/>
    <w:rsid w:val="0048335E"/>
    <w:rsid w:val="00485687"/>
    <w:rsid w:val="004865E7"/>
    <w:rsid w:val="00487128"/>
    <w:rsid w:val="00487218"/>
    <w:rsid w:val="004912EA"/>
    <w:rsid w:val="00493432"/>
    <w:rsid w:val="004953F4"/>
    <w:rsid w:val="00496F2A"/>
    <w:rsid w:val="0049796E"/>
    <w:rsid w:val="004A1218"/>
    <w:rsid w:val="004A16F4"/>
    <w:rsid w:val="004A333B"/>
    <w:rsid w:val="004A38DF"/>
    <w:rsid w:val="004A5AAF"/>
    <w:rsid w:val="004A5E4A"/>
    <w:rsid w:val="004A6555"/>
    <w:rsid w:val="004A6DCA"/>
    <w:rsid w:val="004A7EF0"/>
    <w:rsid w:val="004B3EE7"/>
    <w:rsid w:val="004B6D0A"/>
    <w:rsid w:val="004C0D5F"/>
    <w:rsid w:val="004C1D8E"/>
    <w:rsid w:val="004C35A2"/>
    <w:rsid w:val="004C4BD6"/>
    <w:rsid w:val="004C619A"/>
    <w:rsid w:val="004C7556"/>
    <w:rsid w:val="004D0D34"/>
    <w:rsid w:val="004D2863"/>
    <w:rsid w:val="004D2C5F"/>
    <w:rsid w:val="004D2EFA"/>
    <w:rsid w:val="004D6DA1"/>
    <w:rsid w:val="004E03A9"/>
    <w:rsid w:val="004E0EB8"/>
    <w:rsid w:val="004E292B"/>
    <w:rsid w:val="004E2FFD"/>
    <w:rsid w:val="004E4520"/>
    <w:rsid w:val="004E46CB"/>
    <w:rsid w:val="004E48DC"/>
    <w:rsid w:val="004E4F4C"/>
    <w:rsid w:val="004E5E7C"/>
    <w:rsid w:val="004E6978"/>
    <w:rsid w:val="004F3408"/>
    <w:rsid w:val="004F359D"/>
    <w:rsid w:val="004F4114"/>
    <w:rsid w:val="004F4651"/>
    <w:rsid w:val="004F4A5C"/>
    <w:rsid w:val="004F6743"/>
    <w:rsid w:val="004F7101"/>
    <w:rsid w:val="005002B2"/>
    <w:rsid w:val="0050190F"/>
    <w:rsid w:val="00502677"/>
    <w:rsid w:val="00503B57"/>
    <w:rsid w:val="0050556A"/>
    <w:rsid w:val="005061F2"/>
    <w:rsid w:val="005103B8"/>
    <w:rsid w:val="00511068"/>
    <w:rsid w:val="005116B0"/>
    <w:rsid w:val="00511EB4"/>
    <w:rsid w:val="005163C8"/>
    <w:rsid w:val="005167CC"/>
    <w:rsid w:val="00516F03"/>
    <w:rsid w:val="0051712C"/>
    <w:rsid w:val="005212D3"/>
    <w:rsid w:val="00522186"/>
    <w:rsid w:val="00523265"/>
    <w:rsid w:val="00525572"/>
    <w:rsid w:val="005307FA"/>
    <w:rsid w:val="00531FC6"/>
    <w:rsid w:val="00532B88"/>
    <w:rsid w:val="00533466"/>
    <w:rsid w:val="0053506D"/>
    <w:rsid w:val="00535F50"/>
    <w:rsid w:val="005369C5"/>
    <w:rsid w:val="00536BCD"/>
    <w:rsid w:val="0053797C"/>
    <w:rsid w:val="005411D0"/>
    <w:rsid w:val="00542250"/>
    <w:rsid w:val="005460B5"/>
    <w:rsid w:val="00552D19"/>
    <w:rsid w:val="005554FB"/>
    <w:rsid w:val="005566BE"/>
    <w:rsid w:val="00556A32"/>
    <w:rsid w:val="00556FF2"/>
    <w:rsid w:val="005577C0"/>
    <w:rsid w:val="00557B55"/>
    <w:rsid w:val="00560892"/>
    <w:rsid w:val="00560A28"/>
    <w:rsid w:val="00561863"/>
    <w:rsid w:val="0056484E"/>
    <w:rsid w:val="0056528F"/>
    <w:rsid w:val="0057142E"/>
    <w:rsid w:val="00571C51"/>
    <w:rsid w:val="00572A89"/>
    <w:rsid w:val="005732DB"/>
    <w:rsid w:val="00573633"/>
    <w:rsid w:val="0057433C"/>
    <w:rsid w:val="00574A43"/>
    <w:rsid w:val="00574A86"/>
    <w:rsid w:val="0057600B"/>
    <w:rsid w:val="005764CD"/>
    <w:rsid w:val="0057687F"/>
    <w:rsid w:val="00580F14"/>
    <w:rsid w:val="00580F41"/>
    <w:rsid w:val="0058257C"/>
    <w:rsid w:val="00582DE9"/>
    <w:rsid w:val="005857FC"/>
    <w:rsid w:val="00585C9D"/>
    <w:rsid w:val="0058741B"/>
    <w:rsid w:val="00591DA1"/>
    <w:rsid w:val="00592270"/>
    <w:rsid w:val="00592648"/>
    <w:rsid w:val="0059425F"/>
    <w:rsid w:val="00594765"/>
    <w:rsid w:val="005953BF"/>
    <w:rsid w:val="00596628"/>
    <w:rsid w:val="005A055C"/>
    <w:rsid w:val="005A342A"/>
    <w:rsid w:val="005A380D"/>
    <w:rsid w:val="005A5033"/>
    <w:rsid w:val="005A73B3"/>
    <w:rsid w:val="005A7F8B"/>
    <w:rsid w:val="005B02EC"/>
    <w:rsid w:val="005B05E5"/>
    <w:rsid w:val="005B4BAB"/>
    <w:rsid w:val="005B7580"/>
    <w:rsid w:val="005C04D6"/>
    <w:rsid w:val="005C14B8"/>
    <w:rsid w:val="005C4125"/>
    <w:rsid w:val="005C560B"/>
    <w:rsid w:val="005C5E41"/>
    <w:rsid w:val="005C6264"/>
    <w:rsid w:val="005C708F"/>
    <w:rsid w:val="005C7A17"/>
    <w:rsid w:val="005C7CCD"/>
    <w:rsid w:val="005D10CC"/>
    <w:rsid w:val="005D19EE"/>
    <w:rsid w:val="005D340F"/>
    <w:rsid w:val="005D4043"/>
    <w:rsid w:val="005D4084"/>
    <w:rsid w:val="005D43EE"/>
    <w:rsid w:val="005D4B57"/>
    <w:rsid w:val="005D4C67"/>
    <w:rsid w:val="005D52F3"/>
    <w:rsid w:val="005D57D5"/>
    <w:rsid w:val="005D7AAD"/>
    <w:rsid w:val="005E3AE4"/>
    <w:rsid w:val="005E4627"/>
    <w:rsid w:val="005E57D7"/>
    <w:rsid w:val="005E6AC1"/>
    <w:rsid w:val="005E7852"/>
    <w:rsid w:val="005F0502"/>
    <w:rsid w:val="005F13AC"/>
    <w:rsid w:val="005F514E"/>
    <w:rsid w:val="005F51A5"/>
    <w:rsid w:val="005F5775"/>
    <w:rsid w:val="005F588E"/>
    <w:rsid w:val="005F6059"/>
    <w:rsid w:val="005F78C5"/>
    <w:rsid w:val="005F7CD9"/>
    <w:rsid w:val="00605BB5"/>
    <w:rsid w:val="00605FC9"/>
    <w:rsid w:val="00606F67"/>
    <w:rsid w:val="00607145"/>
    <w:rsid w:val="00607300"/>
    <w:rsid w:val="0060745B"/>
    <w:rsid w:val="00607946"/>
    <w:rsid w:val="00610786"/>
    <w:rsid w:val="0061480C"/>
    <w:rsid w:val="00616624"/>
    <w:rsid w:val="00622A1E"/>
    <w:rsid w:val="006241FB"/>
    <w:rsid w:val="00625FE7"/>
    <w:rsid w:val="00630F18"/>
    <w:rsid w:val="00632980"/>
    <w:rsid w:val="00636BCC"/>
    <w:rsid w:val="00637414"/>
    <w:rsid w:val="00637A14"/>
    <w:rsid w:val="00640A51"/>
    <w:rsid w:val="00645D1D"/>
    <w:rsid w:val="00645F38"/>
    <w:rsid w:val="0064729F"/>
    <w:rsid w:val="00647507"/>
    <w:rsid w:val="006476B6"/>
    <w:rsid w:val="00650506"/>
    <w:rsid w:val="00650F9F"/>
    <w:rsid w:val="00651117"/>
    <w:rsid w:val="0065162C"/>
    <w:rsid w:val="00651670"/>
    <w:rsid w:val="00651EB6"/>
    <w:rsid w:val="00652CDA"/>
    <w:rsid w:val="00656ECE"/>
    <w:rsid w:val="00660AA4"/>
    <w:rsid w:val="00660FDC"/>
    <w:rsid w:val="00662231"/>
    <w:rsid w:val="006639A0"/>
    <w:rsid w:val="00665CA6"/>
    <w:rsid w:val="006671DA"/>
    <w:rsid w:val="00667C77"/>
    <w:rsid w:val="0067172C"/>
    <w:rsid w:val="006732C7"/>
    <w:rsid w:val="0067450E"/>
    <w:rsid w:val="00676761"/>
    <w:rsid w:val="00677B91"/>
    <w:rsid w:val="00685996"/>
    <w:rsid w:val="006878B5"/>
    <w:rsid w:val="00690124"/>
    <w:rsid w:val="00690C51"/>
    <w:rsid w:val="0069144E"/>
    <w:rsid w:val="00692EBA"/>
    <w:rsid w:val="00693529"/>
    <w:rsid w:val="00695959"/>
    <w:rsid w:val="00695B1A"/>
    <w:rsid w:val="0069696B"/>
    <w:rsid w:val="00697CD8"/>
    <w:rsid w:val="006A3989"/>
    <w:rsid w:val="006A4065"/>
    <w:rsid w:val="006A4494"/>
    <w:rsid w:val="006A4808"/>
    <w:rsid w:val="006A4E19"/>
    <w:rsid w:val="006A4F98"/>
    <w:rsid w:val="006A52E0"/>
    <w:rsid w:val="006A5EEA"/>
    <w:rsid w:val="006A62C1"/>
    <w:rsid w:val="006A7BCB"/>
    <w:rsid w:val="006B0681"/>
    <w:rsid w:val="006B3E7B"/>
    <w:rsid w:val="006B540B"/>
    <w:rsid w:val="006B621D"/>
    <w:rsid w:val="006B74BB"/>
    <w:rsid w:val="006B75C3"/>
    <w:rsid w:val="006B781E"/>
    <w:rsid w:val="006C014B"/>
    <w:rsid w:val="006C449F"/>
    <w:rsid w:val="006C58E4"/>
    <w:rsid w:val="006C603F"/>
    <w:rsid w:val="006C6082"/>
    <w:rsid w:val="006C640F"/>
    <w:rsid w:val="006D1034"/>
    <w:rsid w:val="006D10B2"/>
    <w:rsid w:val="006D51CF"/>
    <w:rsid w:val="006D6199"/>
    <w:rsid w:val="006D666B"/>
    <w:rsid w:val="006D687E"/>
    <w:rsid w:val="006D68A6"/>
    <w:rsid w:val="006E3999"/>
    <w:rsid w:val="006E453C"/>
    <w:rsid w:val="006F053E"/>
    <w:rsid w:val="006F0C07"/>
    <w:rsid w:val="006F1EAE"/>
    <w:rsid w:val="006F428C"/>
    <w:rsid w:val="00701964"/>
    <w:rsid w:val="00702261"/>
    <w:rsid w:val="007023D0"/>
    <w:rsid w:val="007032E3"/>
    <w:rsid w:val="0070661F"/>
    <w:rsid w:val="00706C4E"/>
    <w:rsid w:val="00711393"/>
    <w:rsid w:val="00712DA2"/>
    <w:rsid w:val="00713029"/>
    <w:rsid w:val="00716FE0"/>
    <w:rsid w:val="00717414"/>
    <w:rsid w:val="00720469"/>
    <w:rsid w:val="00721BB1"/>
    <w:rsid w:val="007224C3"/>
    <w:rsid w:val="00724701"/>
    <w:rsid w:val="00724979"/>
    <w:rsid w:val="007256A4"/>
    <w:rsid w:val="00725FEA"/>
    <w:rsid w:val="007263E4"/>
    <w:rsid w:val="00734143"/>
    <w:rsid w:val="00734209"/>
    <w:rsid w:val="0074034C"/>
    <w:rsid w:val="00740780"/>
    <w:rsid w:val="00742BEE"/>
    <w:rsid w:val="00743311"/>
    <w:rsid w:val="007442A7"/>
    <w:rsid w:val="00745587"/>
    <w:rsid w:val="0074633E"/>
    <w:rsid w:val="00746A22"/>
    <w:rsid w:val="00751CD3"/>
    <w:rsid w:val="00753B0E"/>
    <w:rsid w:val="00755C2E"/>
    <w:rsid w:val="00756C84"/>
    <w:rsid w:val="0075711A"/>
    <w:rsid w:val="007579C6"/>
    <w:rsid w:val="00760649"/>
    <w:rsid w:val="00761D65"/>
    <w:rsid w:val="0076333D"/>
    <w:rsid w:val="00763741"/>
    <w:rsid w:val="00765A04"/>
    <w:rsid w:val="00767BB2"/>
    <w:rsid w:val="00771F77"/>
    <w:rsid w:val="00772036"/>
    <w:rsid w:val="00774C1E"/>
    <w:rsid w:val="007750A6"/>
    <w:rsid w:val="00777848"/>
    <w:rsid w:val="00777B87"/>
    <w:rsid w:val="00780842"/>
    <w:rsid w:val="00780BC3"/>
    <w:rsid w:val="0078175B"/>
    <w:rsid w:val="00781FC8"/>
    <w:rsid w:val="00784EAF"/>
    <w:rsid w:val="007860A9"/>
    <w:rsid w:val="00786342"/>
    <w:rsid w:val="0079094C"/>
    <w:rsid w:val="007957F8"/>
    <w:rsid w:val="00796C48"/>
    <w:rsid w:val="007A0C1C"/>
    <w:rsid w:val="007A17D3"/>
    <w:rsid w:val="007A1852"/>
    <w:rsid w:val="007A3028"/>
    <w:rsid w:val="007A3A88"/>
    <w:rsid w:val="007A4A13"/>
    <w:rsid w:val="007A4D47"/>
    <w:rsid w:val="007A6633"/>
    <w:rsid w:val="007A726D"/>
    <w:rsid w:val="007B1958"/>
    <w:rsid w:val="007B458F"/>
    <w:rsid w:val="007B571B"/>
    <w:rsid w:val="007C0D5C"/>
    <w:rsid w:val="007C12BD"/>
    <w:rsid w:val="007C1E6D"/>
    <w:rsid w:val="007C454A"/>
    <w:rsid w:val="007C5128"/>
    <w:rsid w:val="007C5838"/>
    <w:rsid w:val="007C5AEB"/>
    <w:rsid w:val="007C5D29"/>
    <w:rsid w:val="007D16F0"/>
    <w:rsid w:val="007D4A68"/>
    <w:rsid w:val="007D5158"/>
    <w:rsid w:val="007D51C7"/>
    <w:rsid w:val="007D6145"/>
    <w:rsid w:val="007D61DC"/>
    <w:rsid w:val="007D6576"/>
    <w:rsid w:val="007E0492"/>
    <w:rsid w:val="007E20EF"/>
    <w:rsid w:val="007E2CE0"/>
    <w:rsid w:val="007E43A2"/>
    <w:rsid w:val="007E5060"/>
    <w:rsid w:val="007E59FC"/>
    <w:rsid w:val="007E5E9C"/>
    <w:rsid w:val="007F06F6"/>
    <w:rsid w:val="007F278E"/>
    <w:rsid w:val="007F3BBD"/>
    <w:rsid w:val="007F40B6"/>
    <w:rsid w:val="007F40F0"/>
    <w:rsid w:val="007F5004"/>
    <w:rsid w:val="00802827"/>
    <w:rsid w:val="00802A1D"/>
    <w:rsid w:val="00805B7C"/>
    <w:rsid w:val="00805FCB"/>
    <w:rsid w:val="00806700"/>
    <w:rsid w:val="00810011"/>
    <w:rsid w:val="00811377"/>
    <w:rsid w:val="00812FCE"/>
    <w:rsid w:val="00814464"/>
    <w:rsid w:val="0082159A"/>
    <w:rsid w:val="0082309C"/>
    <w:rsid w:val="0082343C"/>
    <w:rsid w:val="008268D8"/>
    <w:rsid w:val="00827386"/>
    <w:rsid w:val="00830225"/>
    <w:rsid w:val="00830B1F"/>
    <w:rsid w:val="008311D9"/>
    <w:rsid w:val="008312C4"/>
    <w:rsid w:val="0083152E"/>
    <w:rsid w:val="0083178B"/>
    <w:rsid w:val="00832B10"/>
    <w:rsid w:val="0083449E"/>
    <w:rsid w:val="00835038"/>
    <w:rsid w:val="00835A13"/>
    <w:rsid w:val="008374A6"/>
    <w:rsid w:val="00841273"/>
    <w:rsid w:val="008434E2"/>
    <w:rsid w:val="008464C6"/>
    <w:rsid w:val="0084747F"/>
    <w:rsid w:val="00850D6E"/>
    <w:rsid w:val="00850DC2"/>
    <w:rsid w:val="00850E76"/>
    <w:rsid w:val="008515C5"/>
    <w:rsid w:val="00851C1F"/>
    <w:rsid w:val="00851CA9"/>
    <w:rsid w:val="008555AC"/>
    <w:rsid w:val="00855690"/>
    <w:rsid w:val="00857D7B"/>
    <w:rsid w:val="00860361"/>
    <w:rsid w:val="00862207"/>
    <w:rsid w:val="0086325A"/>
    <w:rsid w:val="008641F4"/>
    <w:rsid w:val="00866955"/>
    <w:rsid w:val="00867428"/>
    <w:rsid w:val="00870034"/>
    <w:rsid w:val="00873451"/>
    <w:rsid w:val="00873E1E"/>
    <w:rsid w:val="00874E43"/>
    <w:rsid w:val="008770D9"/>
    <w:rsid w:val="00880A15"/>
    <w:rsid w:val="00883455"/>
    <w:rsid w:val="0088448D"/>
    <w:rsid w:val="00884537"/>
    <w:rsid w:val="00884E29"/>
    <w:rsid w:val="00891871"/>
    <w:rsid w:val="008923C6"/>
    <w:rsid w:val="00892E5D"/>
    <w:rsid w:val="00897E91"/>
    <w:rsid w:val="008A017A"/>
    <w:rsid w:val="008A2614"/>
    <w:rsid w:val="008A405A"/>
    <w:rsid w:val="008A40EB"/>
    <w:rsid w:val="008A4959"/>
    <w:rsid w:val="008A5F10"/>
    <w:rsid w:val="008A62FE"/>
    <w:rsid w:val="008A7887"/>
    <w:rsid w:val="008B18D8"/>
    <w:rsid w:val="008B2C58"/>
    <w:rsid w:val="008B4A7A"/>
    <w:rsid w:val="008B6A0C"/>
    <w:rsid w:val="008B7699"/>
    <w:rsid w:val="008C30A6"/>
    <w:rsid w:val="008C4E30"/>
    <w:rsid w:val="008C5273"/>
    <w:rsid w:val="008C53D7"/>
    <w:rsid w:val="008C555E"/>
    <w:rsid w:val="008D0B9C"/>
    <w:rsid w:val="008D1902"/>
    <w:rsid w:val="008D2DFA"/>
    <w:rsid w:val="008D3694"/>
    <w:rsid w:val="008D440A"/>
    <w:rsid w:val="008D74EA"/>
    <w:rsid w:val="008D77FC"/>
    <w:rsid w:val="008E21D5"/>
    <w:rsid w:val="008E3E67"/>
    <w:rsid w:val="008E4466"/>
    <w:rsid w:val="008E5018"/>
    <w:rsid w:val="008E7451"/>
    <w:rsid w:val="008F0C79"/>
    <w:rsid w:val="008F149E"/>
    <w:rsid w:val="008F1589"/>
    <w:rsid w:val="008F18CF"/>
    <w:rsid w:val="008F1FE1"/>
    <w:rsid w:val="008F4647"/>
    <w:rsid w:val="008F4BDA"/>
    <w:rsid w:val="008F6A5B"/>
    <w:rsid w:val="008F765C"/>
    <w:rsid w:val="00900C4E"/>
    <w:rsid w:val="00901927"/>
    <w:rsid w:val="00903AFC"/>
    <w:rsid w:val="009055DD"/>
    <w:rsid w:val="00906008"/>
    <w:rsid w:val="0090777A"/>
    <w:rsid w:val="00907F2A"/>
    <w:rsid w:val="009123ED"/>
    <w:rsid w:val="00912CEA"/>
    <w:rsid w:val="00915C3F"/>
    <w:rsid w:val="00920525"/>
    <w:rsid w:val="00923D3D"/>
    <w:rsid w:val="009259D3"/>
    <w:rsid w:val="009265AC"/>
    <w:rsid w:val="0092757F"/>
    <w:rsid w:val="00927998"/>
    <w:rsid w:val="00927FD1"/>
    <w:rsid w:val="0093080E"/>
    <w:rsid w:val="00931543"/>
    <w:rsid w:val="00935E77"/>
    <w:rsid w:val="009363D4"/>
    <w:rsid w:val="00936AFB"/>
    <w:rsid w:val="009372D9"/>
    <w:rsid w:val="0094207D"/>
    <w:rsid w:val="0094211C"/>
    <w:rsid w:val="009426B9"/>
    <w:rsid w:val="00942E44"/>
    <w:rsid w:val="009431E6"/>
    <w:rsid w:val="009439B5"/>
    <w:rsid w:val="0094620A"/>
    <w:rsid w:val="009472E5"/>
    <w:rsid w:val="009474EF"/>
    <w:rsid w:val="00950420"/>
    <w:rsid w:val="00951B93"/>
    <w:rsid w:val="00952CB4"/>
    <w:rsid w:val="00956992"/>
    <w:rsid w:val="00957AAA"/>
    <w:rsid w:val="0096067D"/>
    <w:rsid w:val="009658EC"/>
    <w:rsid w:val="009663CA"/>
    <w:rsid w:val="00970558"/>
    <w:rsid w:val="009708F5"/>
    <w:rsid w:val="0097095D"/>
    <w:rsid w:val="00971E44"/>
    <w:rsid w:val="0097289B"/>
    <w:rsid w:val="00972A0B"/>
    <w:rsid w:val="00972F7E"/>
    <w:rsid w:val="009744B5"/>
    <w:rsid w:val="00974C0A"/>
    <w:rsid w:val="009752F5"/>
    <w:rsid w:val="0097617D"/>
    <w:rsid w:val="00981FF9"/>
    <w:rsid w:val="0098221D"/>
    <w:rsid w:val="009825BB"/>
    <w:rsid w:val="00982F36"/>
    <w:rsid w:val="009830A2"/>
    <w:rsid w:val="00984A47"/>
    <w:rsid w:val="00985148"/>
    <w:rsid w:val="00985A9F"/>
    <w:rsid w:val="00985B79"/>
    <w:rsid w:val="00985C8D"/>
    <w:rsid w:val="00992E1E"/>
    <w:rsid w:val="009946AD"/>
    <w:rsid w:val="00995105"/>
    <w:rsid w:val="0099539A"/>
    <w:rsid w:val="0099699E"/>
    <w:rsid w:val="009973CF"/>
    <w:rsid w:val="00997515"/>
    <w:rsid w:val="00997CA5"/>
    <w:rsid w:val="009A0C45"/>
    <w:rsid w:val="009A35BF"/>
    <w:rsid w:val="009A3FEE"/>
    <w:rsid w:val="009A7BEA"/>
    <w:rsid w:val="009B0C6C"/>
    <w:rsid w:val="009B0C74"/>
    <w:rsid w:val="009B7C7E"/>
    <w:rsid w:val="009C010D"/>
    <w:rsid w:val="009C0B38"/>
    <w:rsid w:val="009C1638"/>
    <w:rsid w:val="009C247D"/>
    <w:rsid w:val="009C2717"/>
    <w:rsid w:val="009C4471"/>
    <w:rsid w:val="009C5A5A"/>
    <w:rsid w:val="009C7160"/>
    <w:rsid w:val="009D0E96"/>
    <w:rsid w:val="009D2A22"/>
    <w:rsid w:val="009D31DE"/>
    <w:rsid w:val="009D388A"/>
    <w:rsid w:val="009D6A6B"/>
    <w:rsid w:val="009E3315"/>
    <w:rsid w:val="009E6295"/>
    <w:rsid w:val="009E6CA0"/>
    <w:rsid w:val="009E6DBE"/>
    <w:rsid w:val="009E794E"/>
    <w:rsid w:val="009F020E"/>
    <w:rsid w:val="009F22AB"/>
    <w:rsid w:val="009F23F9"/>
    <w:rsid w:val="009F3456"/>
    <w:rsid w:val="009F4B2E"/>
    <w:rsid w:val="009F5885"/>
    <w:rsid w:val="009F635B"/>
    <w:rsid w:val="009F7371"/>
    <w:rsid w:val="00A0109B"/>
    <w:rsid w:val="00A03F0A"/>
    <w:rsid w:val="00A03F5C"/>
    <w:rsid w:val="00A04250"/>
    <w:rsid w:val="00A04BD7"/>
    <w:rsid w:val="00A06CE0"/>
    <w:rsid w:val="00A1063A"/>
    <w:rsid w:val="00A12EC1"/>
    <w:rsid w:val="00A12F26"/>
    <w:rsid w:val="00A12F2D"/>
    <w:rsid w:val="00A13B95"/>
    <w:rsid w:val="00A1538E"/>
    <w:rsid w:val="00A16A6C"/>
    <w:rsid w:val="00A201B6"/>
    <w:rsid w:val="00A20340"/>
    <w:rsid w:val="00A2130F"/>
    <w:rsid w:val="00A22B1F"/>
    <w:rsid w:val="00A264E8"/>
    <w:rsid w:val="00A33E08"/>
    <w:rsid w:val="00A34E50"/>
    <w:rsid w:val="00A34E6F"/>
    <w:rsid w:val="00A351FF"/>
    <w:rsid w:val="00A3643F"/>
    <w:rsid w:val="00A366F7"/>
    <w:rsid w:val="00A410C7"/>
    <w:rsid w:val="00A436BC"/>
    <w:rsid w:val="00A436C5"/>
    <w:rsid w:val="00A4430F"/>
    <w:rsid w:val="00A4564E"/>
    <w:rsid w:val="00A46369"/>
    <w:rsid w:val="00A4641F"/>
    <w:rsid w:val="00A46B6B"/>
    <w:rsid w:val="00A47605"/>
    <w:rsid w:val="00A478C6"/>
    <w:rsid w:val="00A55CB6"/>
    <w:rsid w:val="00A5722C"/>
    <w:rsid w:val="00A6183D"/>
    <w:rsid w:val="00A61F1B"/>
    <w:rsid w:val="00A63C25"/>
    <w:rsid w:val="00A64AC7"/>
    <w:rsid w:val="00A6505C"/>
    <w:rsid w:val="00A65DDA"/>
    <w:rsid w:val="00A66167"/>
    <w:rsid w:val="00A6672B"/>
    <w:rsid w:val="00A67B1E"/>
    <w:rsid w:val="00A70F5A"/>
    <w:rsid w:val="00A721EA"/>
    <w:rsid w:val="00A72958"/>
    <w:rsid w:val="00A73C5A"/>
    <w:rsid w:val="00A74423"/>
    <w:rsid w:val="00A7447F"/>
    <w:rsid w:val="00A80C31"/>
    <w:rsid w:val="00A80DC1"/>
    <w:rsid w:val="00A8136E"/>
    <w:rsid w:val="00A84595"/>
    <w:rsid w:val="00A84846"/>
    <w:rsid w:val="00A84E82"/>
    <w:rsid w:val="00A8517D"/>
    <w:rsid w:val="00A866AE"/>
    <w:rsid w:val="00A913AD"/>
    <w:rsid w:val="00A91789"/>
    <w:rsid w:val="00A919F6"/>
    <w:rsid w:val="00A91B4A"/>
    <w:rsid w:val="00A94AE1"/>
    <w:rsid w:val="00A95792"/>
    <w:rsid w:val="00A95AF2"/>
    <w:rsid w:val="00AA4B94"/>
    <w:rsid w:val="00AB405C"/>
    <w:rsid w:val="00AB439A"/>
    <w:rsid w:val="00AB47CE"/>
    <w:rsid w:val="00AB575B"/>
    <w:rsid w:val="00AC1D29"/>
    <w:rsid w:val="00AC2DB9"/>
    <w:rsid w:val="00AC32BB"/>
    <w:rsid w:val="00AC4F51"/>
    <w:rsid w:val="00AC59BE"/>
    <w:rsid w:val="00AC7BC2"/>
    <w:rsid w:val="00AD5291"/>
    <w:rsid w:val="00AD54C5"/>
    <w:rsid w:val="00AD5A97"/>
    <w:rsid w:val="00AD72B7"/>
    <w:rsid w:val="00AD7C5A"/>
    <w:rsid w:val="00AE0065"/>
    <w:rsid w:val="00AE31F2"/>
    <w:rsid w:val="00AE35A3"/>
    <w:rsid w:val="00AE36A8"/>
    <w:rsid w:val="00AE407F"/>
    <w:rsid w:val="00AE5023"/>
    <w:rsid w:val="00AE6312"/>
    <w:rsid w:val="00AE72F9"/>
    <w:rsid w:val="00AF1207"/>
    <w:rsid w:val="00AF140D"/>
    <w:rsid w:val="00AF211B"/>
    <w:rsid w:val="00AF4696"/>
    <w:rsid w:val="00AF6518"/>
    <w:rsid w:val="00AF6F72"/>
    <w:rsid w:val="00B02B90"/>
    <w:rsid w:val="00B03809"/>
    <w:rsid w:val="00B074FA"/>
    <w:rsid w:val="00B07CB2"/>
    <w:rsid w:val="00B10408"/>
    <w:rsid w:val="00B1253D"/>
    <w:rsid w:val="00B13591"/>
    <w:rsid w:val="00B140F2"/>
    <w:rsid w:val="00B14156"/>
    <w:rsid w:val="00B15C76"/>
    <w:rsid w:val="00B16C29"/>
    <w:rsid w:val="00B2169D"/>
    <w:rsid w:val="00B232C6"/>
    <w:rsid w:val="00B25B35"/>
    <w:rsid w:val="00B314EE"/>
    <w:rsid w:val="00B32D1A"/>
    <w:rsid w:val="00B33DD7"/>
    <w:rsid w:val="00B372A8"/>
    <w:rsid w:val="00B375BE"/>
    <w:rsid w:val="00B378FE"/>
    <w:rsid w:val="00B40803"/>
    <w:rsid w:val="00B40DC5"/>
    <w:rsid w:val="00B42072"/>
    <w:rsid w:val="00B42104"/>
    <w:rsid w:val="00B43332"/>
    <w:rsid w:val="00B45CAC"/>
    <w:rsid w:val="00B46EE7"/>
    <w:rsid w:val="00B51D85"/>
    <w:rsid w:val="00B53FDE"/>
    <w:rsid w:val="00B5482C"/>
    <w:rsid w:val="00B54DED"/>
    <w:rsid w:val="00B559A4"/>
    <w:rsid w:val="00B56DDC"/>
    <w:rsid w:val="00B6057E"/>
    <w:rsid w:val="00B60D59"/>
    <w:rsid w:val="00B63281"/>
    <w:rsid w:val="00B644C7"/>
    <w:rsid w:val="00B64D33"/>
    <w:rsid w:val="00B674DB"/>
    <w:rsid w:val="00B7065C"/>
    <w:rsid w:val="00B70DD3"/>
    <w:rsid w:val="00B722B6"/>
    <w:rsid w:val="00B730ED"/>
    <w:rsid w:val="00B77431"/>
    <w:rsid w:val="00B77B96"/>
    <w:rsid w:val="00B8030D"/>
    <w:rsid w:val="00B81233"/>
    <w:rsid w:val="00B81EB4"/>
    <w:rsid w:val="00B8226C"/>
    <w:rsid w:val="00B83A0D"/>
    <w:rsid w:val="00B84083"/>
    <w:rsid w:val="00B84D0B"/>
    <w:rsid w:val="00B84EF5"/>
    <w:rsid w:val="00B86AE2"/>
    <w:rsid w:val="00B8739E"/>
    <w:rsid w:val="00B903B6"/>
    <w:rsid w:val="00B9058C"/>
    <w:rsid w:val="00B92D3F"/>
    <w:rsid w:val="00B93F39"/>
    <w:rsid w:val="00B93FCB"/>
    <w:rsid w:val="00B940A2"/>
    <w:rsid w:val="00B95CF5"/>
    <w:rsid w:val="00B97120"/>
    <w:rsid w:val="00B97FFC"/>
    <w:rsid w:val="00BA0702"/>
    <w:rsid w:val="00BA07B9"/>
    <w:rsid w:val="00BA3D78"/>
    <w:rsid w:val="00BA406A"/>
    <w:rsid w:val="00BA4567"/>
    <w:rsid w:val="00BA4C6D"/>
    <w:rsid w:val="00BA6533"/>
    <w:rsid w:val="00BA767C"/>
    <w:rsid w:val="00BB10B0"/>
    <w:rsid w:val="00BB1220"/>
    <w:rsid w:val="00BB2683"/>
    <w:rsid w:val="00BB374B"/>
    <w:rsid w:val="00BB4B43"/>
    <w:rsid w:val="00BC11F4"/>
    <w:rsid w:val="00BC21CD"/>
    <w:rsid w:val="00BC3593"/>
    <w:rsid w:val="00BC3F1F"/>
    <w:rsid w:val="00BC4272"/>
    <w:rsid w:val="00BC4812"/>
    <w:rsid w:val="00BC6D3B"/>
    <w:rsid w:val="00BD1FA4"/>
    <w:rsid w:val="00BD22A4"/>
    <w:rsid w:val="00BD2CD0"/>
    <w:rsid w:val="00BD2CE2"/>
    <w:rsid w:val="00BD3559"/>
    <w:rsid w:val="00BD3F2E"/>
    <w:rsid w:val="00BD45F9"/>
    <w:rsid w:val="00BD4EE5"/>
    <w:rsid w:val="00BD56A7"/>
    <w:rsid w:val="00BD59CB"/>
    <w:rsid w:val="00BD631F"/>
    <w:rsid w:val="00BD77BE"/>
    <w:rsid w:val="00BE044B"/>
    <w:rsid w:val="00BE0593"/>
    <w:rsid w:val="00BE2F5A"/>
    <w:rsid w:val="00BE3A13"/>
    <w:rsid w:val="00BE4545"/>
    <w:rsid w:val="00BE4831"/>
    <w:rsid w:val="00BE495F"/>
    <w:rsid w:val="00BE629D"/>
    <w:rsid w:val="00BE6428"/>
    <w:rsid w:val="00BF17F3"/>
    <w:rsid w:val="00BF2B04"/>
    <w:rsid w:val="00BF323C"/>
    <w:rsid w:val="00BF6CE3"/>
    <w:rsid w:val="00BF7448"/>
    <w:rsid w:val="00BF7F74"/>
    <w:rsid w:val="00C0434E"/>
    <w:rsid w:val="00C048E4"/>
    <w:rsid w:val="00C057A9"/>
    <w:rsid w:val="00C073FC"/>
    <w:rsid w:val="00C117D6"/>
    <w:rsid w:val="00C12AF6"/>
    <w:rsid w:val="00C13854"/>
    <w:rsid w:val="00C14FD1"/>
    <w:rsid w:val="00C16258"/>
    <w:rsid w:val="00C20745"/>
    <w:rsid w:val="00C20B3B"/>
    <w:rsid w:val="00C2166C"/>
    <w:rsid w:val="00C2331C"/>
    <w:rsid w:val="00C2518E"/>
    <w:rsid w:val="00C25FD9"/>
    <w:rsid w:val="00C268E7"/>
    <w:rsid w:val="00C26F6D"/>
    <w:rsid w:val="00C276D1"/>
    <w:rsid w:val="00C2799A"/>
    <w:rsid w:val="00C30712"/>
    <w:rsid w:val="00C30CE6"/>
    <w:rsid w:val="00C32C64"/>
    <w:rsid w:val="00C3583C"/>
    <w:rsid w:val="00C37385"/>
    <w:rsid w:val="00C375C9"/>
    <w:rsid w:val="00C404BD"/>
    <w:rsid w:val="00C41A6F"/>
    <w:rsid w:val="00C41EE7"/>
    <w:rsid w:val="00C43F96"/>
    <w:rsid w:val="00C4409E"/>
    <w:rsid w:val="00C4515D"/>
    <w:rsid w:val="00C51C98"/>
    <w:rsid w:val="00C52AC7"/>
    <w:rsid w:val="00C555CB"/>
    <w:rsid w:val="00C56C6A"/>
    <w:rsid w:val="00C607D3"/>
    <w:rsid w:val="00C609C2"/>
    <w:rsid w:val="00C6235F"/>
    <w:rsid w:val="00C63DC1"/>
    <w:rsid w:val="00C64553"/>
    <w:rsid w:val="00C654F9"/>
    <w:rsid w:val="00C65993"/>
    <w:rsid w:val="00C663CB"/>
    <w:rsid w:val="00C672C8"/>
    <w:rsid w:val="00C71638"/>
    <w:rsid w:val="00C71754"/>
    <w:rsid w:val="00C72F5F"/>
    <w:rsid w:val="00C746C0"/>
    <w:rsid w:val="00C755FE"/>
    <w:rsid w:val="00C75785"/>
    <w:rsid w:val="00C76935"/>
    <w:rsid w:val="00C76BA0"/>
    <w:rsid w:val="00C81B84"/>
    <w:rsid w:val="00C83997"/>
    <w:rsid w:val="00C869DF"/>
    <w:rsid w:val="00C87114"/>
    <w:rsid w:val="00C87238"/>
    <w:rsid w:val="00C901F4"/>
    <w:rsid w:val="00C9240F"/>
    <w:rsid w:val="00C926BA"/>
    <w:rsid w:val="00C92BC5"/>
    <w:rsid w:val="00C93239"/>
    <w:rsid w:val="00C93518"/>
    <w:rsid w:val="00C94042"/>
    <w:rsid w:val="00C96317"/>
    <w:rsid w:val="00C97315"/>
    <w:rsid w:val="00C97D1B"/>
    <w:rsid w:val="00CA1F58"/>
    <w:rsid w:val="00CA295F"/>
    <w:rsid w:val="00CA5C36"/>
    <w:rsid w:val="00CA6791"/>
    <w:rsid w:val="00CA71CF"/>
    <w:rsid w:val="00CB7460"/>
    <w:rsid w:val="00CB753F"/>
    <w:rsid w:val="00CC0B2B"/>
    <w:rsid w:val="00CC1D67"/>
    <w:rsid w:val="00CC23FF"/>
    <w:rsid w:val="00CC3192"/>
    <w:rsid w:val="00CC46B1"/>
    <w:rsid w:val="00CC7359"/>
    <w:rsid w:val="00CD06B2"/>
    <w:rsid w:val="00CD091D"/>
    <w:rsid w:val="00CD179E"/>
    <w:rsid w:val="00CD299B"/>
    <w:rsid w:val="00CD38A5"/>
    <w:rsid w:val="00CD431A"/>
    <w:rsid w:val="00CD65AB"/>
    <w:rsid w:val="00CD7B92"/>
    <w:rsid w:val="00CE1FF7"/>
    <w:rsid w:val="00CE35E8"/>
    <w:rsid w:val="00CE3879"/>
    <w:rsid w:val="00CE4113"/>
    <w:rsid w:val="00CE443E"/>
    <w:rsid w:val="00CE4BCF"/>
    <w:rsid w:val="00CE543A"/>
    <w:rsid w:val="00CE5982"/>
    <w:rsid w:val="00CF081C"/>
    <w:rsid w:val="00CF182F"/>
    <w:rsid w:val="00CF42EA"/>
    <w:rsid w:val="00CF4E65"/>
    <w:rsid w:val="00CF5CD2"/>
    <w:rsid w:val="00CF6AC1"/>
    <w:rsid w:val="00CF7E80"/>
    <w:rsid w:val="00D0099C"/>
    <w:rsid w:val="00D0159F"/>
    <w:rsid w:val="00D02420"/>
    <w:rsid w:val="00D02D56"/>
    <w:rsid w:val="00D03B89"/>
    <w:rsid w:val="00D03DC8"/>
    <w:rsid w:val="00D051F3"/>
    <w:rsid w:val="00D10893"/>
    <w:rsid w:val="00D11A58"/>
    <w:rsid w:val="00D1349C"/>
    <w:rsid w:val="00D134C4"/>
    <w:rsid w:val="00D14D55"/>
    <w:rsid w:val="00D1759D"/>
    <w:rsid w:val="00D20594"/>
    <w:rsid w:val="00D20744"/>
    <w:rsid w:val="00D22914"/>
    <w:rsid w:val="00D24295"/>
    <w:rsid w:val="00D24CB1"/>
    <w:rsid w:val="00D26382"/>
    <w:rsid w:val="00D27948"/>
    <w:rsid w:val="00D31432"/>
    <w:rsid w:val="00D344F1"/>
    <w:rsid w:val="00D3708D"/>
    <w:rsid w:val="00D4113E"/>
    <w:rsid w:val="00D4186C"/>
    <w:rsid w:val="00D41FD8"/>
    <w:rsid w:val="00D421B9"/>
    <w:rsid w:val="00D42813"/>
    <w:rsid w:val="00D43DEB"/>
    <w:rsid w:val="00D44628"/>
    <w:rsid w:val="00D44B3D"/>
    <w:rsid w:val="00D44DEA"/>
    <w:rsid w:val="00D451DA"/>
    <w:rsid w:val="00D45671"/>
    <w:rsid w:val="00D456B0"/>
    <w:rsid w:val="00D45AC4"/>
    <w:rsid w:val="00D460B6"/>
    <w:rsid w:val="00D46695"/>
    <w:rsid w:val="00D503DB"/>
    <w:rsid w:val="00D505D1"/>
    <w:rsid w:val="00D50CC9"/>
    <w:rsid w:val="00D51236"/>
    <w:rsid w:val="00D52335"/>
    <w:rsid w:val="00D53E7C"/>
    <w:rsid w:val="00D57035"/>
    <w:rsid w:val="00D57437"/>
    <w:rsid w:val="00D61963"/>
    <w:rsid w:val="00D62426"/>
    <w:rsid w:val="00D64C04"/>
    <w:rsid w:val="00D6575A"/>
    <w:rsid w:val="00D71033"/>
    <w:rsid w:val="00D71CA0"/>
    <w:rsid w:val="00D75DE4"/>
    <w:rsid w:val="00D77056"/>
    <w:rsid w:val="00D80FED"/>
    <w:rsid w:val="00D81D34"/>
    <w:rsid w:val="00D82CBE"/>
    <w:rsid w:val="00D84CE3"/>
    <w:rsid w:val="00D85178"/>
    <w:rsid w:val="00D85317"/>
    <w:rsid w:val="00D85A1C"/>
    <w:rsid w:val="00D86C0A"/>
    <w:rsid w:val="00D87960"/>
    <w:rsid w:val="00D87ADD"/>
    <w:rsid w:val="00D87F25"/>
    <w:rsid w:val="00D90710"/>
    <w:rsid w:val="00D916B3"/>
    <w:rsid w:val="00D9179A"/>
    <w:rsid w:val="00D955EE"/>
    <w:rsid w:val="00D95716"/>
    <w:rsid w:val="00D959F8"/>
    <w:rsid w:val="00D95E78"/>
    <w:rsid w:val="00D96372"/>
    <w:rsid w:val="00D966A1"/>
    <w:rsid w:val="00DA135B"/>
    <w:rsid w:val="00DA2A68"/>
    <w:rsid w:val="00DA5AEE"/>
    <w:rsid w:val="00DA607C"/>
    <w:rsid w:val="00DA6E9E"/>
    <w:rsid w:val="00DB1227"/>
    <w:rsid w:val="00DB1C79"/>
    <w:rsid w:val="00DB31F7"/>
    <w:rsid w:val="00DB5B6B"/>
    <w:rsid w:val="00DB6155"/>
    <w:rsid w:val="00DB7D61"/>
    <w:rsid w:val="00DB7E17"/>
    <w:rsid w:val="00DC0D60"/>
    <w:rsid w:val="00DC1DAB"/>
    <w:rsid w:val="00DC3E3B"/>
    <w:rsid w:val="00DC4815"/>
    <w:rsid w:val="00DC4E71"/>
    <w:rsid w:val="00DC51B2"/>
    <w:rsid w:val="00DC65A4"/>
    <w:rsid w:val="00DD143E"/>
    <w:rsid w:val="00DD38E9"/>
    <w:rsid w:val="00DE51EA"/>
    <w:rsid w:val="00DE721C"/>
    <w:rsid w:val="00DE75B4"/>
    <w:rsid w:val="00DF01D5"/>
    <w:rsid w:val="00DF1753"/>
    <w:rsid w:val="00DF2A86"/>
    <w:rsid w:val="00DF3ACF"/>
    <w:rsid w:val="00DF3AED"/>
    <w:rsid w:val="00DF413B"/>
    <w:rsid w:val="00DF43A2"/>
    <w:rsid w:val="00DF5A0F"/>
    <w:rsid w:val="00DF6EC1"/>
    <w:rsid w:val="00DF78F6"/>
    <w:rsid w:val="00DF7BAD"/>
    <w:rsid w:val="00E007F1"/>
    <w:rsid w:val="00E00CE5"/>
    <w:rsid w:val="00E01799"/>
    <w:rsid w:val="00E03515"/>
    <w:rsid w:val="00E0413A"/>
    <w:rsid w:val="00E0679E"/>
    <w:rsid w:val="00E06B50"/>
    <w:rsid w:val="00E111A7"/>
    <w:rsid w:val="00E11B8A"/>
    <w:rsid w:val="00E12C27"/>
    <w:rsid w:val="00E15CDB"/>
    <w:rsid w:val="00E1608A"/>
    <w:rsid w:val="00E1608B"/>
    <w:rsid w:val="00E16126"/>
    <w:rsid w:val="00E162E5"/>
    <w:rsid w:val="00E169F4"/>
    <w:rsid w:val="00E17AD4"/>
    <w:rsid w:val="00E21306"/>
    <w:rsid w:val="00E24C33"/>
    <w:rsid w:val="00E25D2F"/>
    <w:rsid w:val="00E2670C"/>
    <w:rsid w:val="00E26933"/>
    <w:rsid w:val="00E27853"/>
    <w:rsid w:val="00E32735"/>
    <w:rsid w:val="00E34F02"/>
    <w:rsid w:val="00E367D4"/>
    <w:rsid w:val="00E36A26"/>
    <w:rsid w:val="00E43A75"/>
    <w:rsid w:val="00E459BB"/>
    <w:rsid w:val="00E47951"/>
    <w:rsid w:val="00E52F67"/>
    <w:rsid w:val="00E55B8E"/>
    <w:rsid w:val="00E564F4"/>
    <w:rsid w:val="00E60B01"/>
    <w:rsid w:val="00E60C1A"/>
    <w:rsid w:val="00E60D5C"/>
    <w:rsid w:val="00E62379"/>
    <w:rsid w:val="00E62417"/>
    <w:rsid w:val="00E62E63"/>
    <w:rsid w:val="00E63CD5"/>
    <w:rsid w:val="00E65FA3"/>
    <w:rsid w:val="00E66253"/>
    <w:rsid w:val="00E672CF"/>
    <w:rsid w:val="00E72C14"/>
    <w:rsid w:val="00E7338C"/>
    <w:rsid w:val="00E7459F"/>
    <w:rsid w:val="00E75264"/>
    <w:rsid w:val="00E768AB"/>
    <w:rsid w:val="00E76D6F"/>
    <w:rsid w:val="00E77EAE"/>
    <w:rsid w:val="00E80771"/>
    <w:rsid w:val="00E81196"/>
    <w:rsid w:val="00E81F84"/>
    <w:rsid w:val="00E84A9A"/>
    <w:rsid w:val="00E91EC5"/>
    <w:rsid w:val="00E9287A"/>
    <w:rsid w:val="00E94983"/>
    <w:rsid w:val="00E957D9"/>
    <w:rsid w:val="00E95D08"/>
    <w:rsid w:val="00E96511"/>
    <w:rsid w:val="00E96EA0"/>
    <w:rsid w:val="00E97A46"/>
    <w:rsid w:val="00EA3630"/>
    <w:rsid w:val="00EA3795"/>
    <w:rsid w:val="00EB0A38"/>
    <w:rsid w:val="00EB2567"/>
    <w:rsid w:val="00EB37ED"/>
    <w:rsid w:val="00EB39B9"/>
    <w:rsid w:val="00EB6084"/>
    <w:rsid w:val="00EB7517"/>
    <w:rsid w:val="00EB7CD4"/>
    <w:rsid w:val="00EC0478"/>
    <w:rsid w:val="00EC238D"/>
    <w:rsid w:val="00EC53E7"/>
    <w:rsid w:val="00EC5904"/>
    <w:rsid w:val="00EC5E63"/>
    <w:rsid w:val="00EC6264"/>
    <w:rsid w:val="00EC789C"/>
    <w:rsid w:val="00ED2149"/>
    <w:rsid w:val="00ED24D4"/>
    <w:rsid w:val="00ED3510"/>
    <w:rsid w:val="00ED472B"/>
    <w:rsid w:val="00ED59E4"/>
    <w:rsid w:val="00ED641B"/>
    <w:rsid w:val="00EE4C8F"/>
    <w:rsid w:val="00EE59B8"/>
    <w:rsid w:val="00EE626F"/>
    <w:rsid w:val="00EE648E"/>
    <w:rsid w:val="00EE7466"/>
    <w:rsid w:val="00EE7C9C"/>
    <w:rsid w:val="00EF1EC2"/>
    <w:rsid w:val="00EF3070"/>
    <w:rsid w:val="00EF509F"/>
    <w:rsid w:val="00EF5EC2"/>
    <w:rsid w:val="00EF74EB"/>
    <w:rsid w:val="00F01CD3"/>
    <w:rsid w:val="00F07361"/>
    <w:rsid w:val="00F10710"/>
    <w:rsid w:val="00F115DB"/>
    <w:rsid w:val="00F11D8F"/>
    <w:rsid w:val="00F13486"/>
    <w:rsid w:val="00F15107"/>
    <w:rsid w:val="00F16B72"/>
    <w:rsid w:val="00F21F2A"/>
    <w:rsid w:val="00F237D1"/>
    <w:rsid w:val="00F255D4"/>
    <w:rsid w:val="00F2718D"/>
    <w:rsid w:val="00F277F0"/>
    <w:rsid w:val="00F27955"/>
    <w:rsid w:val="00F30AEB"/>
    <w:rsid w:val="00F31D99"/>
    <w:rsid w:val="00F3393F"/>
    <w:rsid w:val="00F34F36"/>
    <w:rsid w:val="00F3605F"/>
    <w:rsid w:val="00F37B4F"/>
    <w:rsid w:val="00F37FCD"/>
    <w:rsid w:val="00F42BDE"/>
    <w:rsid w:val="00F44B7A"/>
    <w:rsid w:val="00F44BE8"/>
    <w:rsid w:val="00F454F7"/>
    <w:rsid w:val="00F45575"/>
    <w:rsid w:val="00F45999"/>
    <w:rsid w:val="00F469AB"/>
    <w:rsid w:val="00F51484"/>
    <w:rsid w:val="00F53DA7"/>
    <w:rsid w:val="00F571B1"/>
    <w:rsid w:val="00F63A4A"/>
    <w:rsid w:val="00F64F56"/>
    <w:rsid w:val="00F65521"/>
    <w:rsid w:val="00F65634"/>
    <w:rsid w:val="00F65E3D"/>
    <w:rsid w:val="00F6647C"/>
    <w:rsid w:val="00F66885"/>
    <w:rsid w:val="00F66E3D"/>
    <w:rsid w:val="00F7130E"/>
    <w:rsid w:val="00F72DD0"/>
    <w:rsid w:val="00F7681C"/>
    <w:rsid w:val="00F83083"/>
    <w:rsid w:val="00F83FB8"/>
    <w:rsid w:val="00F86A44"/>
    <w:rsid w:val="00F86ECC"/>
    <w:rsid w:val="00F86F33"/>
    <w:rsid w:val="00F87A35"/>
    <w:rsid w:val="00F909F9"/>
    <w:rsid w:val="00F92A5D"/>
    <w:rsid w:val="00F92EFD"/>
    <w:rsid w:val="00F938F6"/>
    <w:rsid w:val="00F96DA5"/>
    <w:rsid w:val="00F97B4F"/>
    <w:rsid w:val="00FA27F4"/>
    <w:rsid w:val="00FA29F2"/>
    <w:rsid w:val="00FA566F"/>
    <w:rsid w:val="00FA6931"/>
    <w:rsid w:val="00FA7B08"/>
    <w:rsid w:val="00FB0E5D"/>
    <w:rsid w:val="00FB1F33"/>
    <w:rsid w:val="00FB206C"/>
    <w:rsid w:val="00FB3297"/>
    <w:rsid w:val="00FB4121"/>
    <w:rsid w:val="00FB48F1"/>
    <w:rsid w:val="00FB65A8"/>
    <w:rsid w:val="00FB67E7"/>
    <w:rsid w:val="00FC1F32"/>
    <w:rsid w:val="00FC5CD4"/>
    <w:rsid w:val="00FC75E9"/>
    <w:rsid w:val="00FD0BD1"/>
    <w:rsid w:val="00FD36B5"/>
    <w:rsid w:val="00FD3AED"/>
    <w:rsid w:val="00FD4EBB"/>
    <w:rsid w:val="00FD6C8D"/>
    <w:rsid w:val="00FD6D35"/>
    <w:rsid w:val="00FE014A"/>
    <w:rsid w:val="00FE0E4C"/>
    <w:rsid w:val="00FE16D4"/>
    <w:rsid w:val="00FE1C14"/>
    <w:rsid w:val="00FE3135"/>
    <w:rsid w:val="00FE42ED"/>
    <w:rsid w:val="00FE5F4B"/>
    <w:rsid w:val="00FE64BC"/>
    <w:rsid w:val="00FE67A7"/>
    <w:rsid w:val="00FE6FCC"/>
    <w:rsid w:val="00FE76D5"/>
    <w:rsid w:val="00FE7A14"/>
    <w:rsid w:val="00FF057C"/>
    <w:rsid w:val="00FF41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BF7295"/>
  <w15:docId w15:val="{1C15C619-27EC-4C9F-8608-16103EE5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uiPriority w:val="99"/>
    <w:rsid w:val="00C93239"/>
    <w:pPr>
      <w:spacing w:before="450" w:after="300"/>
      <w:jc w:val="center"/>
    </w:pPr>
    <w:rPr>
      <w:sz w:val="26"/>
      <w:szCs w:val="26"/>
    </w:rPr>
  </w:style>
  <w:style w:type="paragraph" w:styleId="FootnoteText">
    <w:name w:val="footnote text"/>
    <w:basedOn w:val="Normal"/>
    <w:link w:val="FootnoteTextChar"/>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naiskr">
    <w:name w:val="naiskr"/>
    <w:basedOn w:val="Normal"/>
    <w:rsid w:val="0041108F"/>
    <w:pPr>
      <w:spacing w:before="75" w:after="75"/>
    </w:pPr>
  </w:style>
  <w:style w:type="table" w:styleId="TableGrid">
    <w:name w:val="Table Grid"/>
    <w:basedOn w:val="TableNormal"/>
    <w:uiPriority w:val="39"/>
    <w:rsid w:val="00FE0E4C"/>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72A89"/>
  </w:style>
  <w:style w:type="paragraph" w:styleId="Revision">
    <w:name w:val="Revision"/>
    <w:hidden/>
    <w:uiPriority w:val="99"/>
    <w:semiHidden/>
    <w:rsid w:val="00942E44"/>
    <w:rPr>
      <w:sz w:val="24"/>
      <w:szCs w:val="24"/>
    </w:rPr>
  </w:style>
  <w:style w:type="paragraph" w:customStyle="1" w:styleId="tvhtml">
    <w:name w:val="tv_html"/>
    <w:basedOn w:val="Normal"/>
    <w:rsid w:val="005A380D"/>
    <w:pPr>
      <w:spacing w:before="100" w:beforeAutospacing="1" w:after="100" w:afterAutospacing="1"/>
    </w:pPr>
  </w:style>
  <w:style w:type="table" w:customStyle="1" w:styleId="TableGrid61">
    <w:name w:val="Table Grid61"/>
    <w:basedOn w:val="TableNormal"/>
    <w:next w:val="TableGrid"/>
    <w:uiPriority w:val="39"/>
    <w:rsid w:val="00A94A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8D74EA"/>
    <w:rPr>
      <w:rFonts w:ascii="Calibri" w:eastAsia="Calibri" w:hAnsi="Calibri"/>
      <w:sz w:val="22"/>
      <w:szCs w:val="22"/>
      <w:lang w:val="en-US" w:eastAsia="en-US"/>
    </w:rPr>
  </w:style>
  <w:style w:type="character" w:customStyle="1" w:styleId="FootnoteTextChar">
    <w:name w:val="Footnote Text Char"/>
    <w:basedOn w:val="DefaultParagraphFont"/>
    <w:link w:val="FootnoteText"/>
    <w:rsid w:val="00C8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208421897">
      <w:bodyDiv w:val="1"/>
      <w:marLeft w:val="0"/>
      <w:marRight w:val="0"/>
      <w:marTop w:val="0"/>
      <w:marBottom w:val="0"/>
      <w:divBdr>
        <w:top w:val="none" w:sz="0" w:space="0" w:color="auto"/>
        <w:left w:val="none" w:sz="0" w:space="0" w:color="auto"/>
        <w:bottom w:val="none" w:sz="0" w:space="0" w:color="auto"/>
        <w:right w:val="none" w:sz="0" w:space="0" w:color="auto"/>
      </w:divBdr>
    </w:div>
    <w:div w:id="208959454">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3846">
      <w:bodyDiv w:val="1"/>
      <w:marLeft w:val="0"/>
      <w:marRight w:val="0"/>
      <w:marTop w:val="0"/>
      <w:marBottom w:val="0"/>
      <w:divBdr>
        <w:top w:val="none" w:sz="0" w:space="0" w:color="auto"/>
        <w:left w:val="none" w:sz="0" w:space="0" w:color="auto"/>
        <w:bottom w:val="none" w:sz="0" w:space="0" w:color="auto"/>
        <w:right w:val="none" w:sz="0" w:space="0" w:color="auto"/>
      </w:divBdr>
    </w:div>
    <w:div w:id="500126979">
      <w:bodyDiv w:val="1"/>
      <w:marLeft w:val="0"/>
      <w:marRight w:val="0"/>
      <w:marTop w:val="0"/>
      <w:marBottom w:val="0"/>
      <w:divBdr>
        <w:top w:val="none" w:sz="0" w:space="0" w:color="auto"/>
        <w:left w:val="none" w:sz="0" w:space="0" w:color="auto"/>
        <w:bottom w:val="none" w:sz="0" w:space="0" w:color="auto"/>
        <w:right w:val="none" w:sz="0" w:space="0" w:color="auto"/>
      </w:divBdr>
    </w:div>
    <w:div w:id="533923740">
      <w:bodyDiv w:val="1"/>
      <w:marLeft w:val="0"/>
      <w:marRight w:val="0"/>
      <w:marTop w:val="0"/>
      <w:marBottom w:val="0"/>
      <w:divBdr>
        <w:top w:val="none" w:sz="0" w:space="0" w:color="auto"/>
        <w:left w:val="none" w:sz="0" w:space="0" w:color="auto"/>
        <w:bottom w:val="none" w:sz="0" w:space="0" w:color="auto"/>
        <w:right w:val="none" w:sz="0" w:space="0" w:color="auto"/>
      </w:divBdr>
    </w:div>
    <w:div w:id="644042048">
      <w:bodyDiv w:val="1"/>
      <w:marLeft w:val="0"/>
      <w:marRight w:val="0"/>
      <w:marTop w:val="0"/>
      <w:marBottom w:val="0"/>
      <w:divBdr>
        <w:top w:val="none" w:sz="0" w:space="0" w:color="auto"/>
        <w:left w:val="none" w:sz="0" w:space="0" w:color="auto"/>
        <w:bottom w:val="none" w:sz="0" w:space="0" w:color="auto"/>
        <w:right w:val="none" w:sz="0" w:space="0" w:color="auto"/>
      </w:divBdr>
    </w:div>
    <w:div w:id="644316691">
      <w:bodyDiv w:val="1"/>
      <w:marLeft w:val="0"/>
      <w:marRight w:val="0"/>
      <w:marTop w:val="0"/>
      <w:marBottom w:val="0"/>
      <w:divBdr>
        <w:top w:val="none" w:sz="0" w:space="0" w:color="auto"/>
        <w:left w:val="none" w:sz="0" w:space="0" w:color="auto"/>
        <w:bottom w:val="none" w:sz="0" w:space="0" w:color="auto"/>
        <w:right w:val="none" w:sz="0" w:space="0" w:color="auto"/>
      </w:divBdr>
    </w:div>
    <w:div w:id="889223410">
      <w:bodyDiv w:val="1"/>
      <w:marLeft w:val="0"/>
      <w:marRight w:val="0"/>
      <w:marTop w:val="0"/>
      <w:marBottom w:val="0"/>
      <w:divBdr>
        <w:top w:val="none" w:sz="0" w:space="0" w:color="auto"/>
        <w:left w:val="none" w:sz="0" w:space="0" w:color="auto"/>
        <w:bottom w:val="none" w:sz="0" w:space="0" w:color="auto"/>
        <w:right w:val="none" w:sz="0" w:space="0" w:color="auto"/>
      </w:divBdr>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172187533">
      <w:bodyDiv w:val="1"/>
      <w:marLeft w:val="0"/>
      <w:marRight w:val="0"/>
      <w:marTop w:val="0"/>
      <w:marBottom w:val="0"/>
      <w:divBdr>
        <w:top w:val="none" w:sz="0" w:space="0" w:color="auto"/>
        <w:left w:val="none" w:sz="0" w:space="0" w:color="auto"/>
        <w:bottom w:val="none" w:sz="0" w:space="0" w:color="auto"/>
        <w:right w:val="none" w:sz="0" w:space="0" w:color="auto"/>
      </w:divBdr>
    </w:div>
    <w:div w:id="1239050764">
      <w:bodyDiv w:val="1"/>
      <w:marLeft w:val="0"/>
      <w:marRight w:val="0"/>
      <w:marTop w:val="0"/>
      <w:marBottom w:val="0"/>
      <w:divBdr>
        <w:top w:val="none" w:sz="0" w:space="0" w:color="auto"/>
        <w:left w:val="none" w:sz="0" w:space="0" w:color="auto"/>
        <w:bottom w:val="none" w:sz="0" w:space="0" w:color="auto"/>
        <w:right w:val="none" w:sz="0" w:space="0" w:color="auto"/>
      </w:divBdr>
    </w:div>
    <w:div w:id="1377581633">
      <w:bodyDiv w:val="1"/>
      <w:marLeft w:val="0"/>
      <w:marRight w:val="0"/>
      <w:marTop w:val="0"/>
      <w:marBottom w:val="0"/>
      <w:divBdr>
        <w:top w:val="none" w:sz="0" w:space="0" w:color="auto"/>
        <w:left w:val="none" w:sz="0" w:space="0" w:color="auto"/>
        <w:bottom w:val="none" w:sz="0" w:space="0" w:color="auto"/>
        <w:right w:val="none" w:sz="0" w:space="0" w:color="auto"/>
      </w:divBdr>
    </w:div>
    <w:div w:id="1734354163">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28604291">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075854186">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ga.avotina@f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DKP xmlns="2e5bb04e-596e-45bd-9003-43ca78b1ba16">38</DKP>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8FF1-718A-4F11-A177-2ACFFFAFF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3.xml><?xml version="1.0" encoding="utf-8"?>
<ds:datastoreItem xmlns:ds="http://schemas.openxmlformats.org/officeDocument/2006/customXml" ds:itemID="{735E0665-BD9C-43C8-9516-40CF25BAB0C3}">
  <ds:schemaRefs>
    <ds:schemaRef ds:uri="http://schemas.microsoft.com/office/2006/metadata/propertie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5.xml><?xml version="1.0" encoding="utf-8"?>
<ds:datastoreItem xmlns:ds="http://schemas.openxmlformats.org/officeDocument/2006/customXml" ds:itemID="{B124BD40-B2F6-4ABC-82B1-2917A417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8528</Words>
  <Characters>4862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Likumprojekta "Grozījumi likumā "Par izložu un azartspēļu nodevu un nodokli"" sākotnējās ietekmes novērtējuma ziņojums (anotācija)</vt:lpstr>
    </vt:vector>
  </TitlesOfParts>
  <Company>FM</Company>
  <LinksUpToDate>false</LinksUpToDate>
  <CharactersWithSpaces>13364</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izložu un azartspēļu nodevu un nodokli"" sākotnējās ietekmes novērtējuma ziņojums (anotācija)</dc:title>
  <dc:subject>Anotācija</dc:subject>
  <dc:creator>Inga Avotiņa</dc:creator>
  <dc:description>Inga.Avotina@fm.gov.lv,_x000d_
67095515</dc:description>
  <cp:lastModifiedBy>Laimdota Adlere</cp:lastModifiedBy>
  <cp:revision>2</cp:revision>
  <cp:lastPrinted>2019-09-24T11:27:00Z</cp:lastPrinted>
  <dcterms:created xsi:type="dcterms:W3CDTF">2019-09-26T06:16:00Z</dcterms:created>
  <dcterms:modified xsi:type="dcterms:W3CDTF">2019-09-26T06:16:00Z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